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21B8" w14:textId="77777777" w:rsidR="00EC3C82" w:rsidRDefault="00EC3C82">
      <w:pPr>
        <w:spacing w:before="80" w:after="60"/>
      </w:pPr>
    </w:p>
    <w:p w14:paraId="628A21B9" w14:textId="77777777" w:rsidR="00EC3C82" w:rsidRDefault="00BD6614">
      <w:pPr>
        <w:spacing w:before="120" w:after="60"/>
        <w:jc w:val="center"/>
      </w:pPr>
      <w:r>
        <w:rPr>
          <w:b/>
          <w:bCs/>
          <w:color w:val="1F3964"/>
          <w:sz w:val="26"/>
          <w:szCs w:val="26"/>
        </w:rPr>
        <w:t>HOSPITAL UNIVERSITARIO GENERAL DE VILLALBA</w:t>
      </w:r>
    </w:p>
    <w:p w14:paraId="628A21BA" w14:textId="77777777" w:rsidR="00EC3C82" w:rsidRDefault="00BD6614">
      <w:pPr>
        <w:spacing w:before="40" w:after="120"/>
        <w:jc w:val="center"/>
      </w:pPr>
      <w:r>
        <w:rPr>
          <w:color w:val="0070C0"/>
          <w:sz w:val="21"/>
          <w:szCs w:val="21"/>
        </w:rPr>
        <w:t xml:space="preserve">Comisión de </w:t>
      </w:r>
      <w:proofErr w:type="gramStart"/>
      <w:r>
        <w:rPr>
          <w:color w:val="0070C0"/>
          <w:sz w:val="21"/>
          <w:szCs w:val="21"/>
        </w:rPr>
        <w:t>Docencia  ·</w:t>
      </w:r>
      <w:proofErr w:type="gramEnd"/>
      <w:r>
        <w:rPr>
          <w:color w:val="0070C0"/>
          <w:sz w:val="21"/>
          <w:szCs w:val="21"/>
        </w:rPr>
        <w:t xml:space="preserve">  Servicio de Urgencias</w:t>
      </w:r>
    </w:p>
    <w:p w14:paraId="628A21BB" w14:textId="77777777" w:rsidR="00EC3C82" w:rsidRDefault="00BD6614">
      <w:pPr>
        <w:pBdr>
          <w:top w:val="single" w:sz="10" w:space="4" w:color="1F3964"/>
          <w:bottom w:val="single" w:sz="10" w:space="4" w:color="1F3964"/>
        </w:pBdr>
        <w:spacing w:before="120" w:after="80"/>
        <w:jc w:val="center"/>
      </w:pPr>
      <w:r>
        <w:rPr>
          <w:b/>
          <w:bCs/>
          <w:color w:val="1F3964"/>
          <w:sz w:val="28"/>
          <w:szCs w:val="28"/>
        </w:rPr>
        <w:t>PROTOCOLO DE SUPERVISIÓN Y RESPONSABILIDAD</w:t>
      </w:r>
    </w:p>
    <w:p w14:paraId="628A21BC" w14:textId="77777777" w:rsidR="00EC3C82" w:rsidRDefault="00BD6614">
      <w:pPr>
        <w:spacing w:before="60" w:after="40"/>
        <w:jc w:val="center"/>
      </w:pPr>
      <w:r>
        <w:rPr>
          <w:b/>
          <w:bCs/>
          <w:color w:val="0070C0"/>
          <w:sz w:val="22"/>
          <w:szCs w:val="22"/>
        </w:rPr>
        <w:t>Médicos Internos Residentes en el Servicio de Urgencias</w:t>
      </w:r>
    </w:p>
    <w:p w14:paraId="628A21BD" w14:textId="41324A91" w:rsidR="00EC3C82" w:rsidRDefault="00BD6614">
      <w:pPr>
        <w:spacing w:before="40" w:after="200"/>
        <w:jc w:val="center"/>
      </w:pPr>
      <w:r>
        <w:rPr>
          <w:i/>
          <w:iCs/>
          <w:color w:val="666666"/>
        </w:rPr>
        <w:t xml:space="preserve">Versión </w:t>
      </w:r>
      <w:proofErr w:type="gramStart"/>
      <w:r w:rsidR="00642584">
        <w:rPr>
          <w:i/>
          <w:iCs/>
          <w:color w:val="666666"/>
        </w:rPr>
        <w:t>3</w:t>
      </w:r>
      <w:r>
        <w:rPr>
          <w:i/>
          <w:iCs/>
          <w:color w:val="666666"/>
        </w:rPr>
        <w:t>.0  ·</w:t>
      </w:r>
      <w:proofErr w:type="gramEnd"/>
      <w:r>
        <w:rPr>
          <w:i/>
          <w:iCs/>
          <w:color w:val="666666"/>
        </w:rPr>
        <w:t xml:space="preserve">  Actualización </w:t>
      </w:r>
      <w:proofErr w:type="gramStart"/>
      <w:r>
        <w:rPr>
          <w:i/>
          <w:iCs/>
          <w:color w:val="666666"/>
        </w:rPr>
        <w:t>Mayo</w:t>
      </w:r>
      <w:proofErr w:type="gramEnd"/>
      <w:r>
        <w:rPr>
          <w:i/>
          <w:iCs/>
          <w:color w:val="666666"/>
        </w:rPr>
        <w:t xml:space="preserve"> 2026</w:t>
      </w:r>
    </w:p>
    <w:p w14:paraId="628A21BE" w14:textId="77777777" w:rsidR="00EC3C82" w:rsidRDefault="00EC3C82">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EC3C82" w14:paraId="628A21C1" w14:textId="77777777">
        <w:tc>
          <w:tcPr>
            <w:tcW w:w="4513"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1BF" w14:textId="77777777" w:rsidR="00EC3C82" w:rsidRDefault="00BD6614">
            <w:pPr>
              <w:jc w:val="center"/>
            </w:pPr>
            <w:r>
              <w:rPr>
                <w:b/>
                <w:bCs/>
                <w:color w:val="FFFFFF"/>
                <w:sz w:val="19"/>
                <w:szCs w:val="19"/>
              </w:rPr>
              <w:t>Supervisado por</w:t>
            </w:r>
          </w:p>
        </w:tc>
        <w:tc>
          <w:tcPr>
            <w:tcW w:w="4513"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1C0" w14:textId="77777777" w:rsidR="00EC3C82" w:rsidRDefault="00BD6614">
            <w:pPr>
              <w:jc w:val="center"/>
            </w:pPr>
            <w:r>
              <w:rPr>
                <w:b/>
                <w:bCs/>
                <w:color w:val="FFFFFF"/>
                <w:sz w:val="19"/>
                <w:szCs w:val="19"/>
              </w:rPr>
              <w:t>Autores</w:t>
            </w:r>
          </w:p>
        </w:tc>
      </w:tr>
      <w:tr w:rsidR="00EC3C82" w14:paraId="628A21CB" w14:textId="77777777">
        <w:tc>
          <w:tcPr>
            <w:tcW w:w="4513"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tcPr>
          <w:p w14:paraId="628A21C2" w14:textId="77777777" w:rsidR="00EC3C82" w:rsidRDefault="00BD6614">
            <w:r>
              <w:rPr>
                <w:b/>
                <w:bCs/>
                <w:sz w:val="19"/>
                <w:szCs w:val="19"/>
              </w:rPr>
              <w:t>Francisco de Borja Hernández Moreno</w:t>
            </w:r>
          </w:p>
          <w:p w14:paraId="628A21C3" w14:textId="77777777" w:rsidR="00EC3C82" w:rsidRDefault="00BD6614">
            <w:r>
              <w:rPr>
                <w:sz w:val="18"/>
                <w:szCs w:val="18"/>
              </w:rPr>
              <w:t>Presidente de la Comisión de Docencia</w:t>
            </w:r>
          </w:p>
          <w:p w14:paraId="628A21C4" w14:textId="272B1A2D" w:rsidR="00EC3C82" w:rsidRDefault="00BD6614">
            <w:r>
              <w:rPr>
                <w:sz w:val="18"/>
                <w:szCs w:val="18"/>
              </w:rPr>
              <w:t>Jefe de Estudios</w:t>
            </w:r>
            <w:r w:rsidR="0041671D">
              <w:rPr>
                <w:sz w:val="18"/>
                <w:szCs w:val="18"/>
              </w:rPr>
              <w:t xml:space="preserve"> (</w:t>
            </w:r>
            <w:proofErr w:type="spellStart"/>
            <w:r w:rsidR="0041671D">
              <w:rPr>
                <w:sz w:val="18"/>
                <w:szCs w:val="18"/>
              </w:rPr>
              <w:t>JdE</w:t>
            </w:r>
            <w:proofErr w:type="spellEnd"/>
            <w:r w:rsidR="0041671D">
              <w:rPr>
                <w:sz w:val="18"/>
                <w:szCs w:val="18"/>
              </w:rPr>
              <w:t>)</w:t>
            </w:r>
            <w:r>
              <w:rPr>
                <w:sz w:val="18"/>
                <w:szCs w:val="18"/>
              </w:rPr>
              <w:t xml:space="preserve"> FSE — </w:t>
            </w:r>
            <w:proofErr w:type="gramStart"/>
            <w:r>
              <w:rPr>
                <w:sz w:val="18"/>
                <w:szCs w:val="18"/>
              </w:rPr>
              <w:t>Jefe</w:t>
            </w:r>
            <w:proofErr w:type="gramEnd"/>
            <w:r>
              <w:rPr>
                <w:sz w:val="18"/>
                <w:szCs w:val="18"/>
              </w:rPr>
              <w:t xml:space="preserve"> Asociado de Urgencias</w:t>
            </w:r>
          </w:p>
        </w:tc>
        <w:tc>
          <w:tcPr>
            <w:tcW w:w="4513"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tcPr>
          <w:p w14:paraId="628A21C5" w14:textId="77777777" w:rsidR="00EC3C82" w:rsidRDefault="00BD6614">
            <w:r>
              <w:rPr>
                <w:b/>
                <w:bCs/>
                <w:sz w:val="19"/>
                <w:szCs w:val="19"/>
              </w:rPr>
              <w:t>María Teresa Cerdán Carbonero</w:t>
            </w:r>
          </w:p>
          <w:p w14:paraId="628A21C6" w14:textId="77777777" w:rsidR="00EC3C82" w:rsidRDefault="00BD6614">
            <w:r>
              <w:rPr>
                <w:sz w:val="18"/>
                <w:szCs w:val="18"/>
              </w:rPr>
              <w:t>Jefa del Servicio de Urgencias</w:t>
            </w:r>
          </w:p>
          <w:p w14:paraId="628A21C7" w14:textId="77777777" w:rsidR="00EC3C82" w:rsidRDefault="00BD6614">
            <w:pPr>
              <w:spacing w:before="60"/>
            </w:pPr>
            <w:r>
              <w:rPr>
                <w:b/>
                <w:bCs/>
                <w:sz w:val="19"/>
                <w:szCs w:val="19"/>
              </w:rPr>
              <w:t>Dra. María Teresa Núñez Gómez-Álvarez</w:t>
            </w:r>
          </w:p>
          <w:p w14:paraId="628A21C8" w14:textId="77777777" w:rsidR="00EC3C82" w:rsidRDefault="00BD6614">
            <w:r>
              <w:rPr>
                <w:sz w:val="18"/>
                <w:szCs w:val="18"/>
              </w:rPr>
              <w:t>Tutora de Residentes de Urgencias</w:t>
            </w:r>
          </w:p>
          <w:p w14:paraId="628A21C9" w14:textId="77777777" w:rsidR="00EC3C82" w:rsidRDefault="00BD6614">
            <w:pPr>
              <w:spacing w:before="40"/>
            </w:pPr>
            <w:r>
              <w:rPr>
                <w:b/>
                <w:bCs/>
                <w:sz w:val="19"/>
                <w:szCs w:val="19"/>
              </w:rPr>
              <w:t>Dra. Irene Serrano Pozas</w:t>
            </w:r>
          </w:p>
          <w:p w14:paraId="628A21CA" w14:textId="77777777" w:rsidR="00EC3C82" w:rsidRDefault="00BD6614">
            <w:r>
              <w:rPr>
                <w:sz w:val="18"/>
                <w:szCs w:val="18"/>
              </w:rPr>
              <w:t>Tutora de Residentes de Urgencias</w:t>
            </w:r>
          </w:p>
        </w:tc>
      </w:tr>
    </w:tbl>
    <w:p w14:paraId="628A21CC"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198"/>
        <w:gridCol w:w="5785"/>
        <w:gridCol w:w="1343"/>
      </w:tblGrid>
      <w:tr w:rsidR="00EC3C82" w14:paraId="628A21D1" w14:textId="77777777" w:rsidTr="00E53408">
        <w:tc>
          <w:tcPr>
            <w:tcW w:w="700" w:type="dxa"/>
            <w:tcBorders>
              <w:top w:val="single" w:sz="4" w:space="0" w:color="0070C0"/>
              <w:left w:val="single" w:sz="4" w:space="0" w:color="0070C0"/>
              <w:bottom w:val="single" w:sz="4" w:space="0" w:color="0070C0"/>
              <w:right w:val="single" w:sz="4" w:space="0" w:color="0070C0"/>
            </w:tcBorders>
            <w:shd w:val="clear" w:color="auto" w:fill="0070C0"/>
            <w:tcMar>
              <w:top w:w="60" w:type="dxa"/>
              <w:left w:w="80" w:type="dxa"/>
              <w:bottom w:w="60" w:type="dxa"/>
              <w:right w:w="80" w:type="dxa"/>
            </w:tcMar>
            <w:vAlign w:val="center"/>
          </w:tcPr>
          <w:p w14:paraId="628A21CD" w14:textId="77777777" w:rsidR="00EC3C82" w:rsidRDefault="00BD6614">
            <w:pPr>
              <w:jc w:val="center"/>
            </w:pPr>
            <w:r>
              <w:rPr>
                <w:b/>
                <w:bCs/>
                <w:color w:val="FFFFFF"/>
                <w:sz w:val="19"/>
                <w:szCs w:val="19"/>
              </w:rPr>
              <w:t>V.</w:t>
            </w:r>
          </w:p>
        </w:tc>
        <w:tc>
          <w:tcPr>
            <w:tcW w:w="1198" w:type="dxa"/>
            <w:tcBorders>
              <w:top w:val="single" w:sz="4" w:space="0" w:color="0070C0"/>
              <w:left w:val="single" w:sz="4" w:space="0" w:color="0070C0"/>
              <w:bottom w:val="single" w:sz="4" w:space="0" w:color="0070C0"/>
              <w:right w:val="single" w:sz="4" w:space="0" w:color="0070C0"/>
            </w:tcBorders>
            <w:shd w:val="clear" w:color="auto" w:fill="0070C0"/>
            <w:tcMar>
              <w:top w:w="60" w:type="dxa"/>
              <w:left w:w="80" w:type="dxa"/>
              <w:bottom w:w="60" w:type="dxa"/>
              <w:right w:w="80" w:type="dxa"/>
            </w:tcMar>
            <w:vAlign w:val="center"/>
          </w:tcPr>
          <w:p w14:paraId="628A21CE" w14:textId="77777777" w:rsidR="00EC3C82" w:rsidRDefault="00BD6614">
            <w:pPr>
              <w:jc w:val="center"/>
            </w:pPr>
            <w:r>
              <w:rPr>
                <w:b/>
                <w:bCs/>
                <w:color w:val="FFFFFF"/>
                <w:sz w:val="19"/>
                <w:szCs w:val="19"/>
              </w:rPr>
              <w:t>Fecha</w:t>
            </w:r>
          </w:p>
        </w:tc>
        <w:tc>
          <w:tcPr>
            <w:tcW w:w="5785" w:type="dxa"/>
            <w:tcBorders>
              <w:top w:val="single" w:sz="4" w:space="0" w:color="0070C0"/>
              <w:left w:val="single" w:sz="4" w:space="0" w:color="0070C0"/>
              <w:bottom w:val="single" w:sz="4" w:space="0" w:color="0070C0"/>
              <w:right w:val="single" w:sz="4" w:space="0" w:color="0070C0"/>
            </w:tcBorders>
            <w:shd w:val="clear" w:color="auto" w:fill="0070C0"/>
            <w:tcMar>
              <w:top w:w="60" w:type="dxa"/>
              <w:left w:w="80" w:type="dxa"/>
              <w:bottom w:w="60" w:type="dxa"/>
              <w:right w:w="80" w:type="dxa"/>
            </w:tcMar>
            <w:vAlign w:val="center"/>
          </w:tcPr>
          <w:p w14:paraId="628A21CF" w14:textId="77777777" w:rsidR="00EC3C82" w:rsidRDefault="00BD6614">
            <w:pPr>
              <w:jc w:val="center"/>
            </w:pPr>
            <w:r>
              <w:rPr>
                <w:b/>
                <w:bCs/>
                <w:color w:val="FFFFFF"/>
                <w:sz w:val="19"/>
                <w:szCs w:val="19"/>
              </w:rPr>
              <w:t>Modificación</w:t>
            </w:r>
          </w:p>
        </w:tc>
        <w:tc>
          <w:tcPr>
            <w:tcW w:w="1343" w:type="dxa"/>
            <w:tcBorders>
              <w:top w:val="single" w:sz="4" w:space="0" w:color="0070C0"/>
              <w:left w:val="single" w:sz="4" w:space="0" w:color="0070C0"/>
              <w:bottom w:val="single" w:sz="4" w:space="0" w:color="0070C0"/>
              <w:right w:val="single" w:sz="4" w:space="0" w:color="0070C0"/>
            </w:tcBorders>
            <w:shd w:val="clear" w:color="auto" w:fill="0070C0"/>
            <w:tcMar>
              <w:top w:w="60" w:type="dxa"/>
              <w:left w:w="80" w:type="dxa"/>
              <w:bottom w:w="60" w:type="dxa"/>
              <w:right w:w="80" w:type="dxa"/>
            </w:tcMar>
            <w:vAlign w:val="center"/>
          </w:tcPr>
          <w:p w14:paraId="628A21D0" w14:textId="77777777" w:rsidR="00EC3C82" w:rsidRDefault="00BD6614">
            <w:pPr>
              <w:jc w:val="center"/>
            </w:pPr>
            <w:r>
              <w:rPr>
                <w:b/>
                <w:bCs/>
                <w:color w:val="FFFFFF"/>
                <w:sz w:val="19"/>
                <w:szCs w:val="19"/>
              </w:rPr>
              <w:t>Responsable</w:t>
            </w:r>
          </w:p>
        </w:tc>
      </w:tr>
      <w:tr w:rsidR="0041671D" w14:paraId="388B48BA" w14:textId="77777777" w:rsidTr="00E53408">
        <w:tc>
          <w:tcPr>
            <w:tcW w:w="700"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7AE4F1BD" w14:textId="4B9DCD5B" w:rsidR="0041671D" w:rsidRDefault="0041671D" w:rsidP="0041671D">
            <w:pPr>
              <w:jc w:val="center"/>
              <w:rPr>
                <w:sz w:val="19"/>
                <w:szCs w:val="19"/>
              </w:rPr>
            </w:pPr>
            <w:r>
              <w:rPr>
                <w:sz w:val="19"/>
                <w:szCs w:val="19"/>
              </w:rPr>
              <w:t>1.0</w:t>
            </w:r>
          </w:p>
        </w:tc>
        <w:tc>
          <w:tcPr>
            <w:tcW w:w="1198"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3C1ADC0B" w14:textId="785B91B3" w:rsidR="0041671D" w:rsidRDefault="0041671D" w:rsidP="0041671D">
            <w:pPr>
              <w:jc w:val="center"/>
              <w:rPr>
                <w:sz w:val="19"/>
                <w:szCs w:val="19"/>
              </w:rPr>
            </w:pPr>
            <w:r>
              <w:rPr>
                <w:sz w:val="19"/>
                <w:szCs w:val="19"/>
              </w:rPr>
              <w:t>2019</w:t>
            </w:r>
          </w:p>
        </w:tc>
        <w:tc>
          <w:tcPr>
            <w:tcW w:w="5785"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D78598D" w14:textId="18D53651" w:rsidR="0041671D" w:rsidRDefault="0041671D" w:rsidP="0041671D">
            <w:pPr>
              <w:rPr>
                <w:sz w:val="19"/>
                <w:szCs w:val="19"/>
              </w:rPr>
            </w:pPr>
            <w:r>
              <w:rPr>
                <w:sz w:val="19"/>
                <w:szCs w:val="19"/>
              </w:rPr>
              <w:t>Versión inicial del protocolo de supervisión de Urgencias.</w:t>
            </w:r>
          </w:p>
        </w:tc>
        <w:tc>
          <w:tcPr>
            <w:tcW w:w="1343"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3D1061F8" w14:textId="7BB50676" w:rsidR="0041671D" w:rsidRDefault="00642584" w:rsidP="0041671D">
            <w:pPr>
              <w:rPr>
                <w:sz w:val="19"/>
                <w:szCs w:val="19"/>
              </w:rPr>
            </w:pPr>
            <w:proofErr w:type="spellStart"/>
            <w:r>
              <w:rPr>
                <w:sz w:val="19"/>
                <w:szCs w:val="19"/>
              </w:rPr>
              <w:t>JdE</w:t>
            </w:r>
            <w:proofErr w:type="spellEnd"/>
            <w:r>
              <w:rPr>
                <w:sz w:val="19"/>
                <w:szCs w:val="19"/>
              </w:rPr>
              <w:t xml:space="preserve"> / Tutor</w:t>
            </w:r>
          </w:p>
        </w:tc>
      </w:tr>
      <w:tr w:rsidR="0041671D" w14:paraId="628A21D6" w14:textId="77777777" w:rsidTr="00E53408">
        <w:tc>
          <w:tcPr>
            <w:tcW w:w="700"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1D2" w14:textId="34F3C48A" w:rsidR="0041671D" w:rsidRDefault="0041671D" w:rsidP="0041671D">
            <w:pPr>
              <w:jc w:val="center"/>
            </w:pPr>
            <w:r>
              <w:rPr>
                <w:sz w:val="19"/>
                <w:szCs w:val="19"/>
              </w:rPr>
              <w:t>2.0</w:t>
            </w:r>
          </w:p>
        </w:tc>
        <w:tc>
          <w:tcPr>
            <w:tcW w:w="1198"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1D3" w14:textId="77777777" w:rsidR="0041671D" w:rsidRDefault="0041671D" w:rsidP="0041671D">
            <w:pPr>
              <w:jc w:val="center"/>
            </w:pPr>
            <w:r>
              <w:rPr>
                <w:sz w:val="19"/>
                <w:szCs w:val="19"/>
              </w:rPr>
              <w:t>Mayo 2025</w:t>
            </w:r>
          </w:p>
        </w:tc>
        <w:tc>
          <w:tcPr>
            <w:tcW w:w="5785"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1D4" w14:textId="13B9004A" w:rsidR="0041671D" w:rsidRDefault="00FF3042" w:rsidP="0041671D">
            <w:r>
              <w:rPr>
                <w:sz w:val="19"/>
                <w:szCs w:val="19"/>
              </w:rPr>
              <w:t>Revisión 2025</w:t>
            </w:r>
          </w:p>
        </w:tc>
        <w:tc>
          <w:tcPr>
            <w:tcW w:w="1343"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1D5" w14:textId="77777777" w:rsidR="0041671D" w:rsidRDefault="0041671D" w:rsidP="0041671D">
            <w:proofErr w:type="spellStart"/>
            <w:r>
              <w:rPr>
                <w:sz w:val="19"/>
                <w:szCs w:val="19"/>
              </w:rPr>
              <w:t>JdE</w:t>
            </w:r>
            <w:proofErr w:type="spellEnd"/>
            <w:r>
              <w:rPr>
                <w:sz w:val="19"/>
                <w:szCs w:val="19"/>
              </w:rPr>
              <w:t xml:space="preserve"> / Tutoras</w:t>
            </w:r>
          </w:p>
        </w:tc>
      </w:tr>
      <w:tr w:rsidR="0041671D" w14:paraId="628A21DB" w14:textId="77777777" w:rsidTr="00E53408">
        <w:tc>
          <w:tcPr>
            <w:tcW w:w="700" w:type="dxa"/>
            <w:tcBorders>
              <w:top w:val="single" w:sz="4" w:space="0" w:color="1F3964"/>
              <w:left w:val="single" w:sz="4" w:space="0" w:color="1F3964"/>
              <w:bottom w:val="single" w:sz="4" w:space="0" w:color="1F3964"/>
              <w:right w:val="single" w:sz="4" w:space="0" w:color="1F3964"/>
            </w:tcBorders>
            <w:shd w:val="clear" w:color="auto" w:fill="DEEAF1"/>
            <w:tcMar>
              <w:top w:w="60" w:type="dxa"/>
              <w:left w:w="80" w:type="dxa"/>
              <w:bottom w:w="60" w:type="dxa"/>
              <w:right w:w="80" w:type="dxa"/>
            </w:tcMar>
            <w:vAlign w:val="center"/>
          </w:tcPr>
          <w:p w14:paraId="628A21D7" w14:textId="334A41C2" w:rsidR="0041671D" w:rsidRDefault="0041671D" w:rsidP="0041671D">
            <w:pPr>
              <w:jc w:val="center"/>
            </w:pPr>
            <w:r>
              <w:rPr>
                <w:b/>
                <w:bCs/>
                <w:sz w:val="19"/>
                <w:szCs w:val="19"/>
              </w:rPr>
              <w:t>3.0</w:t>
            </w:r>
          </w:p>
        </w:tc>
        <w:tc>
          <w:tcPr>
            <w:tcW w:w="1198" w:type="dxa"/>
            <w:tcBorders>
              <w:top w:val="single" w:sz="4" w:space="0" w:color="1F3964"/>
              <w:left w:val="single" w:sz="4" w:space="0" w:color="1F3964"/>
              <w:bottom w:val="single" w:sz="4" w:space="0" w:color="1F3964"/>
              <w:right w:val="single" w:sz="4" w:space="0" w:color="1F3964"/>
            </w:tcBorders>
            <w:shd w:val="clear" w:color="auto" w:fill="DEEAF1"/>
            <w:tcMar>
              <w:top w:w="60" w:type="dxa"/>
              <w:left w:w="80" w:type="dxa"/>
              <w:bottom w:w="60" w:type="dxa"/>
              <w:right w:w="80" w:type="dxa"/>
            </w:tcMar>
            <w:vAlign w:val="center"/>
          </w:tcPr>
          <w:p w14:paraId="628A21D8" w14:textId="77777777" w:rsidR="0041671D" w:rsidRDefault="0041671D" w:rsidP="0041671D">
            <w:pPr>
              <w:jc w:val="center"/>
            </w:pPr>
            <w:r>
              <w:rPr>
                <w:sz w:val="19"/>
                <w:szCs w:val="19"/>
              </w:rPr>
              <w:t>Mayo 2026</w:t>
            </w:r>
          </w:p>
        </w:tc>
        <w:tc>
          <w:tcPr>
            <w:tcW w:w="5785" w:type="dxa"/>
            <w:tcBorders>
              <w:top w:val="single" w:sz="4" w:space="0" w:color="1F3964"/>
              <w:left w:val="single" w:sz="4" w:space="0" w:color="1F3964"/>
              <w:bottom w:val="single" w:sz="4" w:space="0" w:color="1F3964"/>
              <w:right w:val="single" w:sz="4" w:space="0" w:color="1F3964"/>
            </w:tcBorders>
            <w:shd w:val="clear" w:color="auto" w:fill="DEEAF1"/>
            <w:tcMar>
              <w:top w:w="60" w:type="dxa"/>
              <w:left w:w="80" w:type="dxa"/>
              <w:bottom w:w="60" w:type="dxa"/>
              <w:right w:w="80" w:type="dxa"/>
            </w:tcMar>
            <w:vAlign w:val="center"/>
          </w:tcPr>
          <w:p w14:paraId="628A21D9" w14:textId="77777777" w:rsidR="0041671D" w:rsidRDefault="0041671D" w:rsidP="0041671D">
            <w:r>
              <w:rPr>
                <w:sz w:val="19"/>
                <w:szCs w:val="19"/>
              </w:rPr>
              <w:t>Revisión 2026 (Plan de Mejora FSE). Actualización de formato institucional, corrección de cargos y mejora de la tabla de niveles de supervisión.</w:t>
            </w:r>
          </w:p>
        </w:tc>
        <w:tc>
          <w:tcPr>
            <w:tcW w:w="1343" w:type="dxa"/>
            <w:tcBorders>
              <w:top w:val="single" w:sz="4" w:space="0" w:color="1F3964"/>
              <w:left w:val="single" w:sz="4" w:space="0" w:color="1F3964"/>
              <w:bottom w:val="single" w:sz="4" w:space="0" w:color="1F3964"/>
              <w:right w:val="single" w:sz="4" w:space="0" w:color="1F3964"/>
            </w:tcBorders>
            <w:shd w:val="clear" w:color="auto" w:fill="DEEAF1"/>
            <w:tcMar>
              <w:top w:w="60" w:type="dxa"/>
              <w:left w:w="80" w:type="dxa"/>
              <w:bottom w:w="60" w:type="dxa"/>
              <w:right w:w="80" w:type="dxa"/>
            </w:tcMar>
            <w:vAlign w:val="center"/>
          </w:tcPr>
          <w:p w14:paraId="628A21DA" w14:textId="77777777" w:rsidR="0041671D" w:rsidRDefault="0041671D" w:rsidP="0041671D">
            <w:proofErr w:type="spellStart"/>
            <w:r>
              <w:rPr>
                <w:sz w:val="19"/>
                <w:szCs w:val="19"/>
              </w:rPr>
              <w:t>JdE</w:t>
            </w:r>
            <w:proofErr w:type="spellEnd"/>
            <w:r>
              <w:rPr>
                <w:sz w:val="19"/>
                <w:szCs w:val="19"/>
              </w:rPr>
              <w:t xml:space="preserve"> / Tutoras</w:t>
            </w:r>
          </w:p>
        </w:tc>
      </w:tr>
    </w:tbl>
    <w:p w14:paraId="628A21DC" w14:textId="77777777" w:rsidR="00EC3C82" w:rsidRDefault="00EC3C82">
      <w:pPr>
        <w:spacing w:before="60" w:after="60"/>
      </w:pPr>
    </w:p>
    <w:p w14:paraId="628A21DD" w14:textId="77777777" w:rsidR="00EC3C82" w:rsidRDefault="00EC3C82">
      <w:pPr>
        <w:pageBreakBefore/>
      </w:pPr>
    </w:p>
    <w:p w14:paraId="628A21DE" w14:textId="77777777" w:rsidR="00EC3C82" w:rsidRDefault="00BD6614">
      <w:pPr>
        <w:pBdr>
          <w:bottom w:val="single" w:sz="8" w:space="4" w:color="1F3964"/>
        </w:pBdr>
        <w:spacing w:before="200" w:after="100"/>
      </w:pPr>
      <w:r>
        <w:rPr>
          <w:b/>
          <w:bCs/>
          <w:color w:val="1F3964"/>
          <w:sz w:val="26"/>
          <w:szCs w:val="26"/>
        </w:rPr>
        <w:t>ÍNDICE</w:t>
      </w:r>
    </w:p>
    <w:p w14:paraId="628A21DF" w14:textId="77777777" w:rsidR="00EC3C82" w:rsidRDefault="00EC3C82">
      <w:pPr>
        <w:spacing w:before="40" w:after="40"/>
      </w:pPr>
    </w:p>
    <w:p w14:paraId="628A21E0" w14:textId="77777777" w:rsidR="00EC3C82" w:rsidRDefault="00BD6614">
      <w:pPr>
        <w:spacing w:before="60" w:after="60"/>
      </w:pPr>
      <w:r>
        <w:rPr>
          <w:b/>
          <w:bCs/>
          <w:color w:val="1F3964"/>
        </w:rPr>
        <w:t>1.  Preámbulo</w:t>
      </w:r>
    </w:p>
    <w:p w14:paraId="628A21E1" w14:textId="77777777" w:rsidR="00EC3C82" w:rsidRDefault="00BD6614">
      <w:pPr>
        <w:spacing w:before="60" w:after="60"/>
      </w:pPr>
      <w:r>
        <w:rPr>
          <w:b/>
          <w:bCs/>
          <w:color w:val="1F3964"/>
        </w:rPr>
        <w:t>2.  Observaciones para los colaboradores docentes</w:t>
      </w:r>
    </w:p>
    <w:p w14:paraId="628A21E2" w14:textId="77777777" w:rsidR="00EC3C82" w:rsidRDefault="00BD6614">
      <w:pPr>
        <w:spacing w:before="60" w:after="60"/>
      </w:pPr>
      <w:r>
        <w:rPr>
          <w:b/>
          <w:bCs/>
          <w:color w:val="1F3964"/>
        </w:rPr>
        <w:t>3.  Supervisión durante la residencia — consideraciones generales</w:t>
      </w:r>
    </w:p>
    <w:p w14:paraId="628A21E3" w14:textId="77777777" w:rsidR="00EC3C82" w:rsidRDefault="00BD6614">
      <w:pPr>
        <w:spacing w:before="60" w:after="60"/>
      </w:pPr>
      <w:r>
        <w:rPr>
          <w:b/>
          <w:bCs/>
          <w:color w:val="1F3964"/>
        </w:rPr>
        <w:t>4.  Graduación de la supervisión de las actividades asistenciales</w:t>
      </w:r>
    </w:p>
    <w:p w14:paraId="628A21E4" w14:textId="77777777" w:rsidR="00EC3C82" w:rsidRDefault="00BD6614">
      <w:pPr>
        <w:spacing w:before="60" w:after="60"/>
      </w:pPr>
      <w:r>
        <w:rPr>
          <w:b/>
          <w:bCs/>
          <w:color w:val="1F3964"/>
        </w:rPr>
        <w:t>5.  Actividad en el Servicio de Urgencias por año de residencia</w:t>
      </w:r>
    </w:p>
    <w:p w14:paraId="628A21E5" w14:textId="77777777" w:rsidR="00EC3C82" w:rsidRDefault="00BD6614">
      <w:pPr>
        <w:spacing w:before="40" w:after="40"/>
        <w:ind w:left="400"/>
      </w:pPr>
      <w:proofErr w:type="gramStart"/>
      <w:r>
        <w:rPr>
          <w:color w:val="1F3964"/>
          <w:sz w:val="19"/>
          <w:szCs w:val="19"/>
        </w:rPr>
        <w:t>5.1  Residentes</w:t>
      </w:r>
      <w:proofErr w:type="gramEnd"/>
      <w:r>
        <w:rPr>
          <w:color w:val="1F3964"/>
          <w:sz w:val="19"/>
          <w:szCs w:val="19"/>
        </w:rPr>
        <w:t xml:space="preserve"> de primer año (R1)</w:t>
      </w:r>
    </w:p>
    <w:p w14:paraId="628A21E6" w14:textId="77777777" w:rsidR="00EC3C82" w:rsidRDefault="00BD6614">
      <w:pPr>
        <w:spacing w:before="40" w:after="40"/>
        <w:ind w:left="400"/>
      </w:pPr>
      <w:proofErr w:type="gramStart"/>
      <w:r>
        <w:rPr>
          <w:color w:val="1F3964"/>
          <w:sz w:val="19"/>
          <w:szCs w:val="19"/>
        </w:rPr>
        <w:t>5.2  Residentes</w:t>
      </w:r>
      <w:proofErr w:type="gramEnd"/>
      <w:r>
        <w:rPr>
          <w:color w:val="1F3964"/>
          <w:sz w:val="19"/>
          <w:szCs w:val="19"/>
        </w:rPr>
        <w:t xml:space="preserve"> de segundo año (R2)</w:t>
      </w:r>
    </w:p>
    <w:p w14:paraId="628A21E7" w14:textId="77777777" w:rsidR="00EC3C82" w:rsidRDefault="00BD6614">
      <w:pPr>
        <w:spacing w:before="40" w:after="40"/>
        <w:ind w:left="400"/>
      </w:pPr>
      <w:proofErr w:type="gramStart"/>
      <w:r>
        <w:rPr>
          <w:color w:val="1F3964"/>
          <w:sz w:val="19"/>
          <w:szCs w:val="19"/>
        </w:rPr>
        <w:t>5.3  Residentes</w:t>
      </w:r>
      <w:proofErr w:type="gramEnd"/>
      <w:r>
        <w:rPr>
          <w:color w:val="1F3964"/>
          <w:sz w:val="19"/>
          <w:szCs w:val="19"/>
        </w:rPr>
        <w:t xml:space="preserve"> de tercer año (R3)</w:t>
      </w:r>
    </w:p>
    <w:p w14:paraId="628A21E8" w14:textId="77777777" w:rsidR="00EC3C82" w:rsidRDefault="00BD6614">
      <w:pPr>
        <w:spacing w:before="40" w:after="40"/>
        <w:ind w:left="400"/>
      </w:pPr>
      <w:proofErr w:type="gramStart"/>
      <w:r>
        <w:rPr>
          <w:color w:val="1F3964"/>
          <w:sz w:val="19"/>
          <w:szCs w:val="19"/>
        </w:rPr>
        <w:t>5.4  Residentes</w:t>
      </w:r>
      <w:proofErr w:type="gramEnd"/>
      <w:r>
        <w:rPr>
          <w:color w:val="1F3964"/>
          <w:sz w:val="19"/>
          <w:szCs w:val="19"/>
        </w:rPr>
        <w:t xml:space="preserve"> de cuarto y quinto año (R4-R5)</w:t>
      </w:r>
    </w:p>
    <w:p w14:paraId="628A21E9" w14:textId="77777777" w:rsidR="00EC3C82" w:rsidRDefault="00BD6614">
      <w:pPr>
        <w:spacing w:before="60" w:after="60"/>
      </w:pPr>
      <w:r>
        <w:rPr>
          <w:b/>
          <w:bCs/>
          <w:color w:val="1F3964"/>
        </w:rPr>
        <w:t>6.  Niveles de supervisión por habilidad — tabla resumen</w:t>
      </w:r>
    </w:p>
    <w:p w14:paraId="628A21EA" w14:textId="77777777" w:rsidR="00EC3C82" w:rsidRDefault="00EC3C82">
      <w:pPr>
        <w:spacing w:before="60" w:after="60"/>
      </w:pPr>
    </w:p>
    <w:p w14:paraId="628A21EB" w14:textId="77777777" w:rsidR="00EC3C82" w:rsidRDefault="00EC3C82">
      <w:pPr>
        <w:pageBreakBefore/>
      </w:pPr>
    </w:p>
    <w:p w14:paraId="628A21EC" w14:textId="77777777" w:rsidR="00EC3C82" w:rsidRDefault="00BD6614">
      <w:pPr>
        <w:shd w:val="clear" w:color="auto" w:fill="1F3964"/>
        <w:spacing w:before="280" w:after="100"/>
      </w:pPr>
      <w:r>
        <w:rPr>
          <w:b/>
          <w:bCs/>
          <w:color w:val="FFFFFF"/>
          <w:sz w:val="24"/>
          <w:szCs w:val="24"/>
        </w:rPr>
        <w:t>1.  PREÁMBULO</w:t>
      </w:r>
    </w:p>
    <w:p w14:paraId="628A21ED" w14:textId="77777777" w:rsidR="00EC3C82" w:rsidRDefault="00EC3C82">
      <w:pPr>
        <w:spacing w:before="40" w:after="40"/>
      </w:pPr>
    </w:p>
    <w:p w14:paraId="628A21EE" w14:textId="77777777" w:rsidR="00EC3C82" w:rsidRDefault="00BD6614">
      <w:pPr>
        <w:spacing w:before="60" w:after="60"/>
      </w:pPr>
      <w:r>
        <w:t>Toda la estructura del Hospital Universitario General de Villalba (HUGV) ha de estar en disposición de ser utilizada en las enseñanzas de grado, especializada y continuada de estudiantes, residentes y profesionales sanitarios, tal y como establece el RD 183/2008, de 8 de febrero, y de acuerdo con lo señalado en el artículo 104 de la Ley 14/1986, el artículo 34.b) de la Ley 16/2003 y el artículo 12.c) de la Ley 44/2003.</w:t>
      </w:r>
    </w:p>
    <w:p w14:paraId="628A21EF" w14:textId="77777777" w:rsidR="00EC3C82" w:rsidRDefault="00EC3C82">
      <w:pPr>
        <w:spacing w:before="40" w:after="40"/>
      </w:pPr>
    </w:p>
    <w:p w14:paraId="628A21F0" w14:textId="77777777" w:rsidR="00EC3C82" w:rsidRDefault="00BD6614">
      <w:pPr>
        <w:spacing w:before="60" w:after="60"/>
      </w:pPr>
      <w:r>
        <w:t xml:space="preserve">El presente documento recoge las recomendaciones establecidas por la Comisión de Docencia del HUGV, la </w:t>
      </w:r>
      <w:proofErr w:type="gramStart"/>
      <w:r>
        <w:t>Jefa</w:t>
      </w:r>
      <w:proofErr w:type="gramEnd"/>
      <w:r>
        <w:t xml:space="preserve"> del Servicio de Urgencias y las Tutoras de Urgencias para supervisar las tareas asistenciales significativas desempeñadas por los residentes en los distintos dispositivos de esta área asistencial, tanto en la jornada ordinaria como durante los períodos de atención continuada.</w:t>
      </w:r>
    </w:p>
    <w:p w14:paraId="628A21F1"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1F3" w14:textId="77777777">
        <w:tc>
          <w:tcPr>
            <w:tcW w:w="9026" w:type="dxa"/>
            <w:tcBorders>
              <w:top w:val="single" w:sz="6" w:space="0" w:color="1F3964"/>
              <w:left w:val="single" w:sz="6" w:space="0" w:color="1F3964"/>
              <w:bottom w:val="single" w:sz="6" w:space="0" w:color="1F3964"/>
              <w:right w:val="single" w:sz="6" w:space="0" w:color="1F3964"/>
            </w:tcBorders>
            <w:shd w:val="clear" w:color="auto" w:fill="DEEAF1"/>
            <w:tcMar>
              <w:top w:w="80" w:type="dxa"/>
              <w:left w:w="140" w:type="dxa"/>
              <w:bottom w:w="80" w:type="dxa"/>
              <w:right w:w="140" w:type="dxa"/>
            </w:tcMar>
          </w:tcPr>
          <w:p w14:paraId="628A21F2" w14:textId="77777777" w:rsidR="00EC3C82" w:rsidRDefault="00BD6614">
            <w:r>
              <w:rPr>
                <w:color w:val="1F3964"/>
                <w:sz w:val="19"/>
                <w:szCs w:val="19"/>
              </w:rPr>
              <w:t>Este protocolo debe ser conocido por todos los profesionales implicados en la asistencia de pacientes en el Servicio de Urgencias, y se hará llegar a todos los facultativos del hospital y a los propios residentes.</w:t>
            </w:r>
          </w:p>
        </w:tc>
      </w:tr>
    </w:tbl>
    <w:p w14:paraId="628A21F4" w14:textId="77777777" w:rsidR="00EC3C82" w:rsidRDefault="00EC3C82">
      <w:pPr>
        <w:spacing w:before="60" w:after="60"/>
      </w:pPr>
    </w:p>
    <w:p w14:paraId="628A21F5" w14:textId="77777777" w:rsidR="00EC3C82" w:rsidRDefault="00BD6614">
      <w:pPr>
        <w:shd w:val="clear" w:color="auto" w:fill="1F3964"/>
        <w:spacing w:before="280" w:after="100"/>
      </w:pPr>
      <w:r>
        <w:rPr>
          <w:b/>
          <w:bCs/>
          <w:color w:val="FFFFFF"/>
          <w:sz w:val="24"/>
          <w:szCs w:val="24"/>
        </w:rPr>
        <w:t>2.  OBSERVACIONES PARA LOS COLABORADORES DOCENTES</w:t>
      </w:r>
    </w:p>
    <w:p w14:paraId="628A21F6" w14:textId="77777777" w:rsidR="00EC3C82" w:rsidRDefault="00EC3C82">
      <w:pPr>
        <w:spacing w:before="40" w:after="40"/>
      </w:pPr>
    </w:p>
    <w:p w14:paraId="628A21F7" w14:textId="77777777" w:rsidR="00EC3C82" w:rsidRDefault="00BD6614">
      <w:pPr>
        <w:spacing w:before="60" w:after="60"/>
      </w:pPr>
      <w:r>
        <w:t>Cada residente, durante su rotación por el Servicio de Urgencias, tendrá asignado un colaborador docente responsable. Estos colaboradores docentes son especialistas de la plantilla del Servicio de Urgencias. Durante los períodos de atención continuada (guardias), actuarán como colaboradores docentes los especialistas de plantilla que se hallen de guardia en la jornada correspondiente.</w:t>
      </w:r>
    </w:p>
    <w:p w14:paraId="628A21F8" w14:textId="77777777" w:rsidR="00EC3C82" w:rsidRDefault="00EC3C82">
      <w:pPr>
        <w:spacing w:before="40" w:after="40"/>
      </w:pPr>
    </w:p>
    <w:p w14:paraId="628A21F9" w14:textId="77777777" w:rsidR="00EC3C82" w:rsidRDefault="00BD6614">
      <w:pPr>
        <w:spacing w:before="60" w:after="60"/>
      </w:pPr>
      <w:r>
        <w:t>Los colaboradores docentes tienen asignadas las siguientes tareas durante la rotación del residente asignado (o durante las guardias):</w:t>
      </w:r>
    </w:p>
    <w:p w14:paraId="628A21FA" w14:textId="77777777" w:rsidR="00EC3C82" w:rsidRDefault="00EC3C82">
      <w:pPr>
        <w:spacing w:before="40" w:after="40"/>
      </w:pPr>
    </w:p>
    <w:p w14:paraId="628A21FB" w14:textId="77777777" w:rsidR="00EC3C82" w:rsidRDefault="00BD6614">
      <w:pPr>
        <w:spacing w:before="40" w:after="40"/>
        <w:ind w:left="560" w:hanging="200"/>
      </w:pPr>
      <w:r>
        <w:t>• Programar las actividades del residente en Urgencias contemplando los objetivos establecidos por los tutores para esta rotación, que constan en el GIFT de la especialidad correspondiente.</w:t>
      </w:r>
    </w:p>
    <w:p w14:paraId="628A21FC" w14:textId="77777777" w:rsidR="00EC3C82" w:rsidRDefault="00BD6614">
      <w:pPr>
        <w:spacing w:before="40" w:after="40"/>
        <w:ind w:left="560" w:hanging="200"/>
      </w:pPr>
      <w:r>
        <w:t xml:space="preserve">• Establecer una supervisión </w:t>
      </w:r>
      <w:proofErr w:type="gramStart"/>
      <w:r>
        <w:t>del residente adecuada</w:t>
      </w:r>
      <w:proofErr w:type="gramEnd"/>
      <w:r>
        <w:t xml:space="preserve"> al año de residencia.</w:t>
      </w:r>
    </w:p>
    <w:p w14:paraId="628A21FD" w14:textId="77777777" w:rsidR="00EC3C82" w:rsidRDefault="00EC3C82">
      <w:pPr>
        <w:spacing w:before="40" w:after="40"/>
      </w:pPr>
    </w:p>
    <w:p w14:paraId="628A21FE" w14:textId="77777777" w:rsidR="00EC3C82" w:rsidRDefault="00BD6614">
      <w:pPr>
        <w:spacing w:before="60" w:after="60"/>
      </w:pPr>
      <w:r>
        <w:t xml:space="preserve">Para los residentes que efectúan una rotación programada en Urgencias en jornada normal, los colaboradores docentes </w:t>
      </w:r>
      <w:proofErr w:type="gramStart"/>
      <w:r>
        <w:t>deberán</w:t>
      </w:r>
      <w:proofErr w:type="gramEnd"/>
      <w:r>
        <w:t xml:space="preserve"> además:</w:t>
      </w:r>
    </w:p>
    <w:p w14:paraId="628A21FF" w14:textId="77777777" w:rsidR="00EC3C82" w:rsidRDefault="00EC3C82">
      <w:pPr>
        <w:spacing w:before="40" w:after="40"/>
      </w:pPr>
    </w:p>
    <w:p w14:paraId="628A2200" w14:textId="77777777" w:rsidR="00EC3C82" w:rsidRDefault="00BD6614">
      <w:pPr>
        <w:spacing w:before="40" w:after="40"/>
        <w:ind w:left="560" w:hanging="200"/>
      </w:pPr>
      <w:r>
        <w:t>• Evaluar cualitativamente el grado de cumplimiento de los objetivos establecidos para la rotación.</w:t>
      </w:r>
    </w:p>
    <w:p w14:paraId="628A2201" w14:textId="77777777" w:rsidR="00EC3C82" w:rsidRDefault="00BD6614">
      <w:pPr>
        <w:spacing w:before="40" w:after="40"/>
        <w:ind w:left="560" w:hanging="200"/>
      </w:pPr>
      <w:r>
        <w:t>• Evaluar cuantitativamente aptitudes y actitudes profesionales y el aprovechamiento del residente durante su rotación.</w:t>
      </w:r>
    </w:p>
    <w:p w14:paraId="628A2202" w14:textId="77777777" w:rsidR="00EC3C82" w:rsidRDefault="00BD6614">
      <w:pPr>
        <w:spacing w:before="40" w:after="40"/>
        <w:ind w:left="560" w:hanging="200"/>
      </w:pPr>
      <w:r>
        <w:t>• Fomentar la integración del residente en las actividades asistenciales, docentes y eventualmente de investigación desarrolladas en Urgencias durante el período de rotación.</w:t>
      </w:r>
    </w:p>
    <w:p w14:paraId="628A2203" w14:textId="77777777" w:rsidR="00EC3C82" w:rsidRDefault="00BD6614">
      <w:pPr>
        <w:spacing w:before="40" w:after="40"/>
        <w:ind w:left="560" w:hanging="200"/>
      </w:pPr>
      <w:r>
        <w:t>• Hacer observar al residente el régimen de jornada laboral y de descansos previsto por la legislación vigente.</w:t>
      </w:r>
    </w:p>
    <w:p w14:paraId="628A2204" w14:textId="77777777" w:rsidR="00EC3C82" w:rsidRDefault="00EC3C82">
      <w:pPr>
        <w:spacing w:before="60" w:after="60"/>
      </w:pPr>
    </w:p>
    <w:p w14:paraId="628A2205" w14:textId="77777777" w:rsidR="00EC3C82" w:rsidRDefault="00BD6614">
      <w:pPr>
        <w:shd w:val="clear" w:color="auto" w:fill="1F3964"/>
        <w:spacing w:before="280" w:after="100"/>
      </w:pPr>
      <w:r>
        <w:rPr>
          <w:b/>
          <w:bCs/>
          <w:color w:val="FFFFFF"/>
          <w:sz w:val="24"/>
          <w:szCs w:val="24"/>
        </w:rPr>
        <w:t>3.  SUPERVISIÓN DURANTE LA RESIDENCIA — CONSIDERACIONES GENERALES</w:t>
      </w:r>
    </w:p>
    <w:p w14:paraId="628A2206" w14:textId="77777777" w:rsidR="00EC3C82" w:rsidRDefault="00EC3C82">
      <w:pPr>
        <w:spacing w:before="40" w:after="40"/>
      </w:pPr>
    </w:p>
    <w:p w14:paraId="628A2207" w14:textId="77777777" w:rsidR="00EC3C82" w:rsidRDefault="00BD6614">
      <w:pPr>
        <w:spacing w:before="60" w:after="60"/>
      </w:pPr>
      <w:r>
        <w:t>El sistema de residencia implica la prestación profesional de servicios por parte de titulados universitarios que cursan los programas oficiales de las distintas especialidades en Ciencias de la Salud. La formación especializada de residentes contempla:</w:t>
      </w:r>
    </w:p>
    <w:p w14:paraId="628A2208" w14:textId="77777777" w:rsidR="00EC3C82" w:rsidRDefault="00EC3C82">
      <w:pPr>
        <w:spacing w:before="40" w:after="40"/>
      </w:pPr>
    </w:p>
    <w:p w14:paraId="628A2209" w14:textId="77777777" w:rsidR="00EC3C82" w:rsidRDefault="00BD6614">
      <w:pPr>
        <w:spacing w:before="40" w:after="40"/>
        <w:ind w:left="560" w:hanging="200"/>
      </w:pPr>
      <w:r>
        <w:t>• La asunción progresiva de responsabilidades.</w:t>
      </w:r>
    </w:p>
    <w:p w14:paraId="628A220A" w14:textId="77777777" w:rsidR="00EC3C82" w:rsidRDefault="00BD6614">
      <w:pPr>
        <w:spacing w:before="40" w:after="40"/>
        <w:ind w:left="560" w:hanging="200"/>
      </w:pPr>
      <w:r>
        <w:lastRenderedPageBreak/>
        <w:t>• Un nivel decreciente de supervisión a medida que se avanza en la adquisición de las competencias previstas en el programa formativo, hasta alcanzar el grado de responsabilidad inherente al ejercicio autónomo de la especialidad.</w:t>
      </w:r>
    </w:p>
    <w:p w14:paraId="628A220B" w14:textId="77777777" w:rsidR="00EC3C82" w:rsidRDefault="00EC3C82">
      <w:pPr>
        <w:spacing w:before="40" w:after="40"/>
      </w:pPr>
    </w:p>
    <w:p w14:paraId="628A220C" w14:textId="77777777" w:rsidR="00EC3C82" w:rsidRDefault="00BD6614">
      <w:pPr>
        <w:spacing w:before="60" w:after="60"/>
      </w:pPr>
      <w:r>
        <w:t>El residente deberá asumir un papel activo en su formación, responsabilizándose de su autoaprendizaje, y atendiendo a las indicaciones de los especialistas de las diferentes unidades y secciones por donde estén rotando, sin perjuicio de plantear a dichos profesionales y a sus tutores cuantas cuestiones se susciten.</w:t>
      </w:r>
    </w:p>
    <w:p w14:paraId="628A220D"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20F" w14:textId="77777777">
        <w:tc>
          <w:tcPr>
            <w:tcW w:w="9026" w:type="dxa"/>
            <w:tcBorders>
              <w:top w:val="single" w:sz="6" w:space="0" w:color="375623"/>
              <w:left w:val="single" w:sz="6" w:space="0" w:color="375623"/>
              <w:bottom w:val="single" w:sz="6" w:space="0" w:color="375623"/>
              <w:right w:val="single" w:sz="6" w:space="0" w:color="375623"/>
            </w:tcBorders>
            <w:shd w:val="clear" w:color="auto" w:fill="E2EFDA"/>
            <w:tcMar>
              <w:top w:w="80" w:type="dxa"/>
              <w:left w:w="140" w:type="dxa"/>
              <w:bottom w:w="80" w:type="dxa"/>
              <w:right w:w="140" w:type="dxa"/>
            </w:tcMar>
          </w:tcPr>
          <w:p w14:paraId="628A220E" w14:textId="77777777" w:rsidR="00EC3C82" w:rsidRDefault="00BD6614">
            <w:r>
              <w:rPr>
                <w:color w:val="375623"/>
                <w:sz w:val="19"/>
                <w:szCs w:val="19"/>
              </w:rPr>
              <w:t>El Servicio de Urgencias del HUGV cuenta con presencia física de médicos especialistas de plantilla las 24 horas del día, los 365 días del año. Esta estructura garantiza en todo momento la disponibilidad de supervisión para los residentes que prestan servicio en el área, tanto en jornada ordinaria como en guardias.</w:t>
            </w:r>
          </w:p>
        </w:tc>
      </w:tr>
    </w:tbl>
    <w:p w14:paraId="628A2210" w14:textId="77777777" w:rsidR="00EC3C82" w:rsidRDefault="00EC3C82">
      <w:pPr>
        <w:spacing w:before="40" w:after="40"/>
      </w:pPr>
    </w:p>
    <w:p w14:paraId="628A2211" w14:textId="77777777" w:rsidR="00EC3C82" w:rsidRDefault="00BD6614">
      <w:pPr>
        <w:spacing w:before="60" w:after="60"/>
      </w:pPr>
      <w:r>
        <w:t>El residente no puede ser considerado un estudiante: es un graduado en Ciencias de la Salud que accede a la residencia tras superar un examen y recibe un salario porque, además de formarse, desempeña un trabajo esencial para el mantenimiento del sistema sanitario.</w:t>
      </w:r>
    </w:p>
    <w:p w14:paraId="628A2212"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216" w14:textId="77777777">
        <w:tc>
          <w:tcPr>
            <w:tcW w:w="9026" w:type="dxa"/>
            <w:tcBorders>
              <w:top w:val="single" w:sz="6" w:space="0" w:color="C00000"/>
              <w:left w:val="single" w:sz="6" w:space="0" w:color="C00000"/>
              <w:bottom w:val="single" w:sz="6" w:space="0" w:color="C00000"/>
              <w:right w:val="single" w:sz="6" w:space="0" w:color="C00000"/>
            </w:tcBorders>
            <w:shd w:val="clear" w:color="auto" w:fill="FFE7E7"/>
            <w:tcMar>
              <w:top w:w="80" w:type="dxa"/>
              <w:left w:w="140" w:type="dxa"/>
              <w:bottom w:w="80" w:type="dxa"/>
              <w:right w:w="140" w:type="dxa"/>
            </w:tcMar>
          </w:tcPr>
          <w:p w14:paraId="628A2213" w14:textId="77777777" w:rsidR="00EC3C82" w:rsidRDefault="00BD6614">
            <w:pPr>
              <w:jc w:val="center"/>
            </w:pPr>
            <w:r>
              <w:rPr>
                <w:b/>
                <w:bCs/>
                <w:color w:val="C00000"/>
              </w:rPr>
              <w:t>PRINCIPIO FUNDAMENTAL DE SUPERVISIÓN</w:t>
            </w:r>
          </w:p>
          <w:p w14:paraId="628A2214" w14:textId="77777777" w:rsidR="00EC3C82" w:rsidRDefault="00BD6614">
            <w:pPr>
              <w:spacing w:before="60"/>
              <w:jc w:val="center"/>
            </w:pPr>
            <w:r>
              <w:rPr>
                <w:b/>
                <w:bCs/>
                <w:color w:val="C00000"/>
              </w:rPr>
              <w:t>Todo residente, independientemente de su año de formación, deberá consultar al adjunto supervisor ante cualquier duda en el manejo de un paciente.</w:t>
            </w:r>
          </w:p>
          <w:p w14:paraId="628A2215" w14:textId="77777777" w:rsidR="00EC3C82" w:rsidRDefault="00BD6614">
            <w:pPr>
              <w:spacing w:before="40"/>
              <w:jc w:val="center"/>
            </w:pPr>
            <w:r>
              <w:rPr>
                <w:i/>
                <w:iCs/>
                <w:color w:val="C00000"/>
                <w:sz w:val="19"/>
                <w:szCs w:val="19"/>
              </w:rPr>
              <w:t>La supervisión del R1 es siempre de presencia física. El residente de primer año nunca está solo.</w:t>
            </w:r>
          </w:p>
        </w:tc>
      </w:tr>
    </w:tbl>
    <w:p w14:paraId="628A2217" w14:textId="77777777" w:rsidR="00EC3C82" w:rsidRDefault="00EC3C82">
      <w:pPr>
        <w:spacing w:before="60" w:after="60"/>
      </w:pPr>
    </w:p>
    <w:p w14:paraId="628A2218" w14:textId="77777777" w:rsidR="00EC3C82" w:rsidRDefault="00BD6614">
      <w:pPr>
        <w:shd w:val="clear" w:color="auto" w:fill="1F3964"/>
        <w:spacing w:before="280" w:after="100"/>
      </w:pPr>
      <w:r>
        <w:rPr>
          <w:b/>
          <w:bCs/>
          <w:color w:val="FFFFFF"/>
          <w:sz w:val="24"/>
          <w:szCs w:val="24"/>
        </w:rPr>
        <w:t>4.  GRADUACIÓN DE LA SUPERVISIÓN DE LAS ACTIVIDADES ASISTENCIALES</w:t>
      </w:r>
    </w:p>
    <w:p w14:paraId="628A2219"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5"/>
        <w:gridCol w:w="2197"/>
        <w:gridCol w:w="3194"/>
        <w:gridCol w:w="3020"/>
      </w:tblGrid>
      <w:tr w:rsidR="00EC3C82" w14:paraId="628A221E" w14:textId="77777777">
        <w:tc>
          <w:tcPr>
            <w:tcW w:w="600"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1A" w14:textId="77777777" w:rsidR="00EC3C82" w:rsidRDefault="00BD6614">
            <w:pPr>
              <w:jc w:val="center"/>
            </w:pPr>
            <w:r>
              <w:rPr>
                <w:b/>
                <w:bCs/>
                <w:color w:val="FFFFFF"/>
                <w:sz w:val="19"/>
                <w:szCs w:val="19"/>
              </w:rPr>
              <w:t>Nivel</w:t>
            </w:r>
          </w:p>
        </w:tc>
        <w:tc>
          <w:tcPr>
            <w:tcW w:w="2200"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1B" w14:textId="77777777" w:rsidR="00EC3C82" w:rsidRDefault="00BD6614">
            <w:pPr>
              <w:jc w:val="center"/>
            </w:pPr>
            <w:r>
              <w:rPr>
                <w:b/>
                <w:bCs/>
                <w:color w:val="FFFFFF"/>
                <w:sz w:val="19"/>
                <w:szCs w:val="19"/>
              </w:rPr>
              <w:t>Denominación</w:t>
            </w:r>
          </w:p>
        </w:tc>
        <w:tc>
          <w:tcPr>
            <w:tcW w:w="3200"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1C" w14:textId="77777777" w:rsidR="00EC3C82" w:rsidRDefault="00BD6614">
            <w:pPr>
              <w:jc w:val="center"/>
            </w:pPr>
            <w:r>
              <w:rPr>
                <w:b/>
                <w:bCs/>
                <w:color w:val="FFFFFF"/>
                <w:sz w:val="19"/>
                <w:szCs w:val="19"/>
              </w:rPr>
              <w:t>Descripción</w:t>
            </w:r>
          </w:p>
        </w:tc>
        <w:tc>
          <w:tcPr>
            <w:tcW w:w="3026"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1D" w14:textId="77777777" w:rsidR="00EC3C82" w:rsidRDefault="00BD6614">
            <w:pPr>
              <w:jc w:val="center"/>
            </w:pPr>
            <w:r>
              <w:rPr>
                <w:b/>
                <w:bCs/>
                <w:color w:val="FFFFFF"/>
                <w:sz w:val="19"/>
                <w:szCs w:val="19"/>
              </w:rPr>
              <w:t>Implicación del especialista</w:t>
            </w:r>
          </w:p>
        </w:tc>
      </w:tr>
      <w:tr w:rsidR="00EC3C82" w14:paraId="628A2223" w14:textId="77777777">
        <w:tc>
          <w:tcPr>
            <w:tcW w:w="600" w:type="dxa"/>
            <w:tcBorders>
              <w:top w:val="single" w:sz="6" w:space="0" w:color="C00000"/>
              <w:left w:val="single" w:sz="6" w:space="0" w:color="C00000"/>
              <w:bottom w:val="single" w:sz="6" w:space="0" w:color="C00000"/>
              <w:right w:val="single" w:sz="6" w:space="0" w:color="C00000"/>
            </w:tcBorders>
            <w:shd w:val="clear" w:color="auto" w:fill="FFE7E7"/>
            <w:tcMar>
              <w:top w:w="80" w:type="dxa"/>
              <w:left w:w="80" w:type="dxa"/>
              <w:bottom w:w="80" w:type="dxa"/>
              <w:right w:w="80" w:type="dxa"/>
            </w:tcMar>
            <w:vAlign w:val="center"/>
          </w:tcPr>
          <w:p w14:paraId="628A221F" w14:textId="77777777" w:rsidR="00EC3C82" w:rsidRDefault="00BD6614">
            <w:pPr>
              <w:jc w:val="center"/>
            </w:pPr>
            <w:r>
              <w:rPr>
                <w:b/>
                <w:bCs/>
                <w:color w:val="C00000"/>
                <w:sz w:val="22"/>
                <w:szCs w:val="22"/>
              </w:rPr>
              <w:t>3</w:t>
            </w:r>
          </w:p>
        </w:tc>
        <w:tc>
          <w:tcPr>
            <w:tcW w:w="2200" w:type="dxa"/>
            <w:tcBorders>
              <w:top w:val="single" w:sz="4" w:space="0" w:color="C00000"/>
              <w:left w:val="single" w:sz="4" w:space="0" w:color="C00000"/>
              <w:bottom w:val="single" w:sz="4" w:space="0" w:color="C00000"/>
              <w:right w:val="single" w:sz="4" w:space="0" w:color="C00000"/>
            </w:tcBorders>
            <w:shd w:val="clear" w:color="auto" w:fill="FFE7E7"/>
            <w:tcMar>
              <w:top w:w="60" w:type="dxa"/>
              <w:left w:w="80" w:type="dxa"/>
              <w:bottom w:w="60" w:type="dxa"/>
              <w:right w:w="80" w:type="dxa"/>
            </w:tcMar>
            <w:vAlign w:val="center"/>
          </w:tcPr>
          <w:p w14:paraId="628A2220" w14:textId="77777777" w:rsidR="00EC3C82" w:rsidRDefault="00BD6614">
            <w:r>
              <w:rPr>
                <w:b/>
                <w:bCs/>
                <w:sz w:val="18"/>
                <w:szCs w:val="18"/>
              </w:rPr>
              <w:t>Supervisión alta (realización por especialista)</w:t>
            </w:r>
          </w:p>
        </w:tc>
        <w:tc>
          <w:tcPr>
            <w:tcW w:w="3200" w:type="dxa"/>
            <w:tcBorders>
              <w:top w:val="single" w:sz="4" w:space="0" w:color="C00000"/>
              <w:left w:val="single" w:sz="4" w:space="0" w:color="C00000"/>
              <w:bottom w:val="single" w:sz="4" w:space="0" w:color="C00000"/>
              <w:right w:val="single" w:sz="4" w:space="0" w:color="C00000"/>
            </w:tcBorders>
            <w:shd w:val="clear" w:color="auto" w:fill="FFE7E7"/>
            <w:tcMar>
              <w:top w:w="60" w:type="dxa"/>
              <w:left w:w="80" w:type="dxa"/>
              <w:bottom w:w="60" w:type="dxa"/>
              <w:right w:w="80" w:type="dxa"/>
            </w:tcMar>
            <w:vAlign w:val="center"/>
          </w:tcPr>
          <w:p w14:paraId="628A2221" w14:textId="77777777" w:rsidR="00EC3C82" w:rsidRDefault="00BD6614">
            <w:r>
              <w:rPr>
                <w:sz w:val="18"/>
                <w:szCs w:val="18"/>
              </w:rPr>
              <w:t>El residente solo tiene conocimiento teórico de la actuación, sin experiencia práctica.</w:t>
            </w:r>
          </w:p>
        </w:tc>
        <w:tc>
          <w:tcPr>
            <w:tcW w:w="3026" w:type="dxa"/>
            <w:tcBorders>
              <w:top w:val="single" w:sz="4" w:space="0" w:color="C00000"/>
              <w:left w:val="single" w:sz="4" w:space="0" w:color="C00000"/>
              <w:bottom w:val="single" w:sz="4" w:space="0" w:color="C00000"/>
              <w:right w:val="single" w:sz="4" w:space="0" w:color="C00000"/>
            </w:tcBorders>
            <w:shd w:val="clear" w:color="auto" w:fill="FFE7E7"/>
            <w:tcMar>
              <w:top w:w="60" w:type="dxa"/>
              <w:left w:w="80" w:type="dxa"/>
              <w:bottom w:w="60" w:type="dxa"/>
              <w:right w:w="80" w:type="dxa"/>
            </w:tcMar>
            <w:vAlign w:val="center"/>
          </w:tcPr>
          <w:p w14:paraId="628A2222" w14:textId="77777777" w:rsidR="00EC3C82" w:rsidRDefault="00BD6614">
            <w:r>
              <w:rPr>
                <w:sz w:val="18"/>
                <w:szCs w:val="18"/>
              </w:rPr>
              <w:t>La actividad es realizada por el especialista. El residente observa y asiste en su ejecución.</w:t>
            </w:r>
          </w:p>
        </w:tc>
      </w:tr>
      <w:tr w:rsidR="00EC3C82" w14:paraId="628A2228" w14:textId="77777777">
        <w:tc>
          <w:tcPr>
            <w:tcW w:w="600" w:type="dxa"/>
            <w:tcBorders>
              <w:top w:val="single" w:sz="6" w:space="0" w:color="C55A11"/>
              <w:left w:val="single" w:sz="6" w:space="0" w:color="C55A11"/>
              <w:bottom w:val="single" w:sz="6" w:space="0" w:color="C55A11"/>
              <w:right w:val="single" w:sz="6" w:space="0" w:color="C55A11"/>
            </w:tcBorders>
            <w:shd w:val="clear" w:color="auto" w:fill="FCE4D6"/>
            <w:tcMar>
              <w:top w:w="80" w:type="dxa"/>
              <w:left w:w="80" w:type="dxa"/>
              <w:bottom w:w="80" w:type="dxa"/>
              <w:right w:w="80" w:type="dxa"/>
            </w:tcMar>
            <w:vAlign w:val="center"/>
          </w:tcPr>
          <w:p w14:paraId="628A2224" w14:textId="77777777" w:rsidR="00EC3C82" w:rsidRDefault="00BD6614">
            <w:pPr>
              <w:jc w:val="center"/>
            </w:pPr>
            <w:r>
              <w:rPr>
                <w:b/>
                <w:bCs/>
                <w:color w:val="C55A11"/>
                <w:sz w:val="22"/>
                <w:szCs w:val="22"/>
              </w:rPr>
              <w:t>2</w:t>
            </w:r>
          </w:p>
        </w:tc>
        <w:tc>
          <w:tcPr>
            <w:tcW w:w="2200" w:type="dxa"/>
            <w:tcBorders>
              <w:top w:val="single" w:sz="4" w:space="0" w:color="C55A11"/>
              <w:left w:val="single" w:sz="4" w:space="0" w:color="C55A11"/>
              <w:bottom w:val="single" w:sz="4" w:space="0" w:color="C55A11"/>
              <w:right w:val="single" w:sz="4" w:space="0" w:color="C55A11"/>
            </w:tcBorders>
            <w:shd w:val="clear" w:color="auto" w:fill="FCE4D6"/>
            <w:tcMar>
              <w:top w:w="60" w:type="dxa"/>
              <w:left w:w="80" w:type="dxa"/>
              <w:bottom w:w="60" w:type="dxa"/>
              <w:right w:w="80" w:type="dxa"/>
            </w:tcMar>
            <w:vAlign w:val="center"/>
          </w:tcPr>
          <w:p w14:paraId="628A2225" w14:textId="77777777" w:rsidR="00EC3C82" w:rsidRDefault="00BD6614">
            <w:r>
              <w:rPr>
                <w:b/>
                <w:bCs/>
                <w:sz w:val="18"/>
                <w:szCs w:val="18"/>
              </w:rPr>
              <w:t>Supervisión media (supervisión directa)</w:t>
            </w:r>
          </w:p>
        </w:tc>
        <w:tc>
          <w:tcPr>
            <w:tcW w:w="3200" w:type="dxa"/>
            <w:tcBorders>
              <w:top w:val="single" w:sz="4" w:space="0" w:color="C55A11"/>
              <w:left w:val="single" w:sz="4" w:space="0" w:color="C55A11"/>
              <w:bottom w:val="single" w:sz="4" w:space="0" w:color="C55A11"/>
              <w:right w:val="single" w:sz="4" w:space="0" w:color="C55A11"/>
            </w:tcBorders>
            <w:shd w:val="clear" w:color="auto" w:fill="FCE4D6"/>
            <w:tcMar>
              <w:top w:w="60" w:type="dxa"/>
              <w:left w:w="80" w:type="dxa"/>
              <w:bottom w:w="60" w:type="dxa"/>
              <w:right w:w="80" w:type="dxa"/>
            </w:tcMar>
            <w:vAlign w:val="center"/>
          </w:tcPr>
          <w:p w14:paraId="628A2226" w14:textId="77777777" w:rsidR="00EC3C82" w:rsidRDefault="00BD6614">
            <w:r>
              <w:rPr>
                <w:sz w:val="18"/>
                <w:szCs w:val="18"/>
              </w:rPr>
              <w:t xml:space="preserve">El residente tiene suficiente conocimiento </w:t>
            </w:r>
            <w:proofErr w:type="gramStart"/>
            <w:r>
              <w:rPr>
                <w:sz w:val="18"/>
                <w:szCs w:val="18"/>
              </w:rPr>
              <w:t>teórico</w:t>
            </w:r>
            <w:proofErr w:type="gramEnd"/>
            <w:r>
              <w:rPr>
                <w:sz w:val="18"/>
                <w:szCs w:val="18"/>
              </w:rPr>
              <w:t xml:space="preserve"> pero no alcanza la experiencia necesaria para actuar de forma independiente.</w:t>
            </w:r>
          </w:p>
        </w:tc>
        <w:tc>
          <w:tcPr>
            <w:tcW w:w="3026" w:type="dxa"/>
            <w:tcBorders>
              <w:top w:val="single" w:sz="4" w:space="0" w:color="C55A11"/>
              <w:left w:val="single" w:sz="4" w:space="0" w:color="C55A11"/>
              <w:bottom w:val="single" w:sz="4" w:space="0" w:color="C55A11"/>
              <w:right w:val="single" w:sz="4" w:space="0" w:color="C55A11"/>
            </w:tcBorders>
            <w:shd w:val="clear" w:color="auto" w:fill="FCE4D6"/>
            <w:tcMar>
              <w:top w:w="60" w:type="dxa"/>
              <w:left w:w="80" w:type="dxa"/>
              <w:bottom w:w="60" w:type="dxa"/>
              <w:right w:w="80" w:type="dxa"/>
            </w:tcMar>
            <w:vAlign w:val="center"/>
          </w:tcPr>
          <w:p w14:paraId="628A2227" w14:textId="77777777" w:rsidR="00EC3C82" w:rsidRDefault="00BD6614">
            <w:r>
              <w:rPr>
                <w:sz w:val="18"/>
                <w:szCs w:val="18"/>
              </w:rPr>
              <w:t>La actividad se realiza bajo supervisión directa del adjunto de plantilla, que está físicamente presente.</w:t>
            </w:r>
          </w:p>
        </w:tc>
      </w:tr>
      <w:tr w:rsidR="00EC3C82" w14:paraId="628A222D" w14:textId="77777777">
        <w:tc>
          <w:tcPr>
            <w:tcW w:w="600" w:type="dxa"/>
            <w:tcBorders>
              <w:top w:val="single" w:sz="6" w:space="0" w:color="375623"/>
              <w:left w:val="single" w:sz="6" w:space="0" w:color="375623"/>
              <w:bottom w:val="single" w:sz="6" w:space="0" w:color="375623"/>
              <w:right w:val="single" w:sz="6" w:space="0" w:color="375623"/>
            </w:tcBorders>
            <w:shd w:val="clear" w:color="auto" w:fill="E2EFDA"/>
            <w:tcMar>
              <w:top w:w="80" w:type="dxa"/>
              <w:left w:w="80" w:type="dxa"/>
              <w:bottom w:w="80" w:type="dxa"/>
              <w:right w:w="80" w:type="dxa"/>
            </w:tcMar>
            <w:vAlign w:val="center"/>
          </w:tcPr>
          <w:p w14:paraId="628A2229" w14:textId="77777777" w:rsidR="00EC3C82" w:rsidRDefault="00BD6614">
            <w:pPr>
              <w:jc w:val="center"/>
            </w:pPr>
            <w:r>
              <w:rPr>
                <w:b/>
                <w:bCs/>
                <w:color w:val="375623"/>
                <w:sz w:val="22"/>
                <w:szCs w:val="22"/>
              </w:rPr>
              <w:t>1</w:t>
            </w:r>
          </w:p>
        </w:tc>
        <w:tc>
          <w:tcPr>
            <w:tcW w:w="2200" w:type="dxa"/>
            <w:tcBorders>
              <w:top w:val="single" w:sz="4" w:space="0" w:color="375623"/>
              <w:left w:val="single" w:sz="4" w:space="0" w:color="375623"/>
              <w:bottom w:val="single" w:sz="4" w:space="0" w:color="375623"/>
              <w:right w:val="single" w:sz="4" w:space="0" w:color="375623"/>
            </w:tcBorders>
            <w:shd w:val="clear" w:color="auto" w:fill="E2EFDA"/>
            <w:tcMar>
              <w:top w:w="60" w:type="dxa"/>
              <w:left w:w="80" w:type="dxa"/>
              <w:bottom w:w="60" w:type="dxa"/>
              <w:right w:w="80" w:type="dxa"/>
            </w:tcMar>
            <w:vAlign w:val="center"/>
          </w:tcPr>
          <w:p w14:paraId="628A222A" w14:textId="77777777" w:rsidR="00EC3C82" w:rsidRDefault="00BD6614">
            <w:r>
              <w:rPr>
                <w:b/>
                <w:bCs/>
                <w:sz w:val="18"/>
                <w:szCs w:val="18"/>
              </w:rPr>
              <w:t>Supervisión baja (a demanda)</w:t>
            </w:r>
          </w:p>
        </w:tc>
        <w:tc>
          <w:tcPr>
            <w:tcW w:w="3200" w:type="dxa"/>
            <w:tcBorders>
              <w:top w:val="single" w:sz="4" w:space="0" w:color="375623"/>
              <w:left w:val="single" w:sz="4" w:space="0" w:color="375623"/>
              <w:bottom w:val="single" w:sz="4" w:space="0" w:color="375623"/>
              <w:right w:val="single" w:sz="4" w:space="0" w:color="375623"/>
            </w:tcBorders>
            <w:shd w:val="clear" w:color="auto" w:fill="E2EFDA"/>
            <w:tcMar>
              <w:top w:w="60" w:type="dxa"/>
              <w:left w:w="80" w:type="dxa"/>
              <w:bottom w:w="60" w:type="dxa"/>
              <w:right w:w="80" w:type="dxa"/>
            </w:tcMar>
            <w:vAlign w:val="center"/>
          </w:tcPr>
          <w:p w14:paraId="628A222B" w14:textId="77777777" w:rsidR="00EC3C82" w:rsidRDefault="00BD6614">
            <w:r>
              <w:rPr>
                <w:sz w:val="18"/>
                <w:szCs w:val="18"/>
              </w:rPr>
              <w:t>Las habilidades adquiridas permiten al residente actuar de manera independiente sin tutorización directa.</w:t>
            </w:r>
          </w:p>
        </w:tc>
        <w:tc>
          <w:tcPr>
            <w:tcW w:w="3026" w:type="dxa"/>
            <w:tcBorders>
              <w:top w:val="single" w:sz="4" w:space="0" w:color="375623"/>
              <w:left w:val="single" w:sz="4" w:space="0" w:color="375623"/>
              <w:bottom w:val="single" w:sz="4" w:space="0" w:color="375623"/>
              <w:right w:val="single" w:sz="4" w:space="0" w:color="375623"/>
            </w:tcBorders>
            <w:shd w:val="clear" w:color="auto" w:fill="E2EFDA"/>
            <w:tcMar>
              <w:top w:w="60" w:type="dxa"/>
              <w:left w:w="80" w:type="dxa"/>
              <w:bottom w:w="60" w:type="dxa"/>
              <w:right w:w="80" w:type="dxa"/>
            </w:tcMar>
            <w:vAlign w:val="center"/>
          </w:tcPr>
          <w:p w14:paraId="628A222C" w14:textId="77777777" w:rsidR="00EC3C82" w:rsidRDefault="00BD6614">
            <w:r>
              <w:rPr>
                <w:sz w:val="18"/>
                <w:szCs w:val="18"/>
              </w:rPr>
              <w:t>El residente ejecuta y después informa al adjunto responsable. Solicita supervisión si lo considera necesario.</w:t>
            </w:r>
          </w:p>
        </w:tc>
      </w:tr>
    </w:tbl>
    <w:p w14:paraId="628A222E"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232" w14:textId="77777777">
        <w:tc>
          <w:tcPr>
            <w:tcW w:w="9026" w:type="dxa"/>
            <w:tcBorders>
              <w:top w:val="single" w:sz="6" w:space="0" w:color="1F3964"/>
              <w:left w:val="single" w:sz="6" w:space="0" w:color="1F3964"/>
              <w:bottom w:val="single" w:sz="6" w:space="0" w:color="1F3964"/>
              <w:right w:val="single" w:sz="6" w:space="0" w:color="1F3964"/>
            </w:tcBorders>
            <w:shd w:val="clear" w:color="auto" w:fill="F2F2F2"/>
            <w:tcMar>
              <w:top w:w="80" w:type="dxa"/>
              <w:left w:w="140" w:type="dxa"/>
              <w:bottom w:w="80" w:type="dxa"/>
              <w:right w:w="140" w:type="dxa"/>
            </w:tcMar>
          </w:tcPr>
          <w:p w14:paraId="628A222F" w14:textId="77777777" w:rsidR="00EC3C82" w:rsidRDefault="00BD6614">
            <w:proofErr w:type="gramStart"/>
            <w:r>
              <w:rPr>
                <w:sz w:val="19"/>
                <w:szCs w:val="19"/>
              </w:rPr>
              <w:t>🟢</w:t>
            </w:r>
            <w:r>
              <w:rPr>
                <w:sz w:val="19"/>
                <w:szCs w:val="19"/>
              </w:rPr>
              <w:t xml:space="preserve">  </w:t>
            </w:r>
            <w:r>
              <w:rPr>
                <w:b/>
                <w:bCs/>
                <w:color w:val="375623"/>
                <w:sz w:val="19"/>
                <w:szCs w:val="19"/>
              </w:rPr>
              <w:t>Nivel</w:t>
            </w:r>
            <w:proofErr w:type="gramEnd"/>
            <w:r>
              <w:rPr>
                <w:b/>
                <w:bCs/>
                <w:color w:val="375623"/>
                <w:sz w:val="19"/>
                <w:szCs w:val="19"/>
              </w:rPr>
              <w:t xml:space="preserve"> 1 — Supervisión a demanda: </w:t>
            </w:r>
            <w:r>
              <w:rPr>
                <w:sz w:val="19"/>
                <w:szCs w:val="19"/>
              </w:rPr>
              <w:t>actuación independiente, informa al adjunto y consulta si tiene dudas.</w:t>
            </w:r>
          </w:p>
          <w:p w14:paraId="628A2230" w14:textId="77777777" w:rsidR="00EC3C82" w:rsidRDefault="00BD6614">
            <w:pPr>
              <w:spacing w:before="30"/>
            </w:pPr>
            <w:proofErr w:type="gramStart"/>
            <w:r>
              <w:rPr>
                <w:sz w:val="19"/>
                <w:szCs w:val="19"/>
              </w:rPr>
              <w:t>🟡</w:t>
            </w:r>
            <w:r>
              <w:rPr>
                <w:sz w:val="19"/>
                <w:szCs w:val="19"/>
              </w:rPr>
              <w:t xml:space="preserve">  </w:t>
            </w:r>
            <w:r>
              <w:rPr>
                <w:b/>
                <w:bCs/>
                <w:color w:val="C55A11"/>
                <w:sz w:val="19"/>
                <w:szCs w:val="19"/>
              </w:rPr>
              <w:t>Nivel</w:t>
            </w:r>
            <w:proofErr w:type="gramEnd"/>
            <w:r>
              <w:rPr>
                <w:b/>
                <w:bCs/>
                <w:color w:val="C55A11"/>
                <w:sz w:val="19"/>
                <w:szCs w:val="19"/>
              </w:rPr>
              <w:t xml:space="preserve"> 2 — Supervisión directa: </w:t>
            </w:r>
            <w:r>
              <w:rPr>
                <w:sz w:val="19"/>
                <w:szCs w:val="19"/>
              </w:rPr>
              <w:t>sabe cómo actuar, experiencia insuficiente para ser autónomo; adjunto presente.</w:t>
            </w:r>
          </w:p>
          <w:p w14:paraId="628A2231" w14:textId="77777777" w:rsidR="00EC3C82" w:rsidRDefault="00BD6614">
            <w:pPr>
              <w:spacing w:before="30"/>
            </w:pPr>
            <w:proofErr w:type="gramStart"/>
            <w:r>
              <w:rPr>
                <w:sz w:val="19"/>
                <w:szCs w:val="19"/>
              </w:rPr>
              <w:t>🔴</w:t>
            </w:r>
            <w:r>
              <w:rPr>
                <w:sz w:val="19"/>
                <w:szCs w:val="19"/>
              </w:rPr>
              <w:t xml:space="preserve">  </w:t>
            </w:r>
            <w:r>
              <w:rPr>
                <w:b/>
                <w:bCs/>
                <w:color w:val="C00000"/>
                <w:sz w:val="19"/>
                <w:szCs w:val="19"/>
              </w:rPr>
              <w:t>Nivel</w:t>
            </w:r>
            <w:proofErr w:type="gramEnd"/>
            <w:r>
              <w:rPr>
                <w:b/>
                <w:bCs/>
                <w:color w:val="C00000"/>
                <w:sz w:val="19"/>
                <w:szCs w:val="19"/>
              </w:rPr>
              <w:t xml:space="preserve"> 3 — Realización por especialista: </w:t>
            </w:r>
            <w:r>
              <w:rPr>
                <w:sz w:val="19"/>
                <w:szCs w:val="19"/>
              </w:rPr>
              <w:t>solo conocimiento teórico; el residente observa y asiste.</w:t>
            </w:r>
          </w:p>
        </w:tc>
      </w:tr>
    </w:tbl>
    <w:p w14:paraId="628A2233" w14:textId="77777777" w:rsidR="00EC3C82" w:rsidRDefault="00EC3C82">
      <w:pPr>
        <w:spacing w:before="60" w:after="60"/>
      </w:pPr>
    </w:p>
    <w:p w14:paraId="628A2234" w14:textId="77777777" w:rsidR="00EC3C82" w:rsidRDefault="00EC3C82">
      <w:pPr>
        <w:pageBreakBefore/>
      </w:pPr>
    </w:p>
    <w:p w14:paraId="628A2235" w14:textId="77777777" w:rsidR="00EC3C82" w:rsidRDefault="00BD6614">
      <w:pPr>
        <w:shd w:val="clear" w:color="auto" w:fill="1F3964"/>
        <w:spacing w:before="280" w:after="100"/>
      </w:pPr>
      <w:r>
        <w:rPr>
          <w:b/>
          <w:bCs/>
          <w:color w:val="FFFFFF"/>
          <w:sz w:val="24"/>
          <w:szCs w:val="24"/>
        </w:rPr>
        <w:t>5.  ACTIVIDAD EN EL SERVICIO DE URGENCIAS POR AÑO DE RESIDENCIA</w:t>
      </w:r>
    </w:p>
    <w:p w14:paraId="628A2236" w14:textId="77777777" w:rsidR="00EC3C82" w:rsidRDefault="00EC3C82">
      <w:pPr>
        <w:spacing w:before="60" w:after="60"/>
      </w:pPr>
    </w:p>
    <w:p w14:paraId="628A2237" w14:textId="77777777" w:rsidR="00EC3C82" w:rsidRDefault="00BD6614">
      <w:pPr>
        <w:pBdr>
          <w:bottom w:val="single" w:sz="6" w:space="4" w:color="1F3964"/>
        </w:pBdr>
        <w:spacing w:before="200" w:after="80"/>
      </w:pPr>
      <w:proofErr w:type="gramStart"/>
      <w:r>
        <w:rPr>
          <w:b/>
          <w:bCs/>
          <w:color w:val="1F3964"/>
          <w:sz w:val="22"/>
          <w:szCs w:val="22"/>
        </w:rPr>
        <w:t>5.1  Residentes</w:t>
      </w:r>
      <w:proofErr w:type="gramEnd"/>
      <w:r>
        <w:rPr>
          <w:b/>
          <w:bCs/>
          <w:color w:val="1F3964"/>
          <w:sz w:val="22"/>
          <w:szCs w:val="22"/>
        </w:rPr>
        <w:t xml:space="preserve"> de primer año (R1)</w:t>
      </w:r>
    </w:p>
    <w:p w14:paraId="628A2238" w14:textId="77777777" w:rsidR="00EC3C82" w:rsidRDefault="00EC3C82">
      <w:pPr>
        <w:spacing w:before="40" w:after="40"/>
      </w:pPr>
    </w:p>
    <w:p w14:paraId="628A2239" w14:textId="77777777" w:rsidR="00EC3C82" w:rsidRDefault="00BD6614">
      <w:pPr>
        <w:spacing w:before="60" w:after="60"/>
      </w:pPr>
      <w:r>
        <w:t>Los R1 realizarán funciones asistenciales de los pacientes que acudan al Servicio de Urgencias en la zona de boxes: anamnesis, exploración física, solicitud de pruebas complementarias necesarias para el diagnóstico y realización del tratamiento inicial, siempre de acuerdo y con supervisión directa de presencia física del adjunto asignado, del que dependerán para todo.</w:t>
      </w:r>
    </w:p>
    <w:p w14:paraId="628A223A"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23C" w14:textId="77777777">
        <w:tc>
          <w:tcPr>
            <w:tcW w:w="9026" w:type="dxa"/>
            <w:tcBorders>
              <w:top w:val="single" w:sz="6" w:space="0" w:color="375623"/>
              <w:left w:val="single" w:sz="6" w:space="0" w:color="375623"/>
              <w:bottom w:val="single" w:sz="6" w:space="0" w:color="375623"/>
              <w:right w:val="single" w:sz="6" w:space="0" w:color="375623"/>
            </w:tcBorders>
            <w:shd w:val="clear" w:color="auto" w:fill="E2EFDA"/>
            <w:tcMar>
              <w:top w:w="80" w:type="dxa"/>
              <w:left w:w="140" w:type="dxa"/>
              <w:bottom w:w="80" w:type="dxa"/>
              <w:right w:w="140" w:type="dxa"/>
            </w:tcMar>
          </w:tcPr>
          <w:p w14:paraId="628A223B" w14:textId="77777777" w:rsidR="00EC3C82" w:rsidRDefault="00BD6614">
            <w:r>
              <w:rPr>
                <w:color w:val="375623"/>
                <w:sz w:val="19"/>
                <w:szCs w:val="19"/>
              </w:rPr>
              <w:t>El Servicio de Urgencias cuenta con especialistas de plantilla presentes físicamente las 24 horas del día. Esto garantiza estructuralmente la supervisión de presencia física del R1 en todo momento, incluyendo guardias, noches y festivos.</w:t>
            </w:r>
          </w:p>
        </w:tc>
      </w:tr>
    </w:tbl>
    <w:p w14:paraId="628A223D"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242" w14:textId="77777777">
        <w:tc>
          <w:tcPr>
            <w:tcW w:w="9026" w:type="dxa"/>
            <w:tcBorders>
              <w:top w:val="single" w:sz="6" w:space="0" w:color="C00000"/>
              <w:left w:val="single" w:sz="6" w:space="0" w:color="C00000"/>
              <w:bottom w:val="single" w:sz="6" w:space="0" w:color="C00000"/>
              <w:right w:val="single" w:sz="6" w:space="0" w:color="C00000"/>
            </w:tcBorders>
            <w:shd w:val="clear" w:color="auto" w:fill="FFE7E7"/>
            <w:tcMar>
              <w:top w:w="80" w:type="dxa"/>
              <w:left w:w="140" w:type="dxa"/>
              <w:bottom w:w="80" w:type="dxa"/>
              <w:right w:w="140" w:type="dxa"/>
            </w:tcMar>
          </w:tcPr>
          <w:p w14:paraId="628A223E" w14:textId="77777777" w:rsidR="00EC3C82" w:rsidRDefault="00BD6614">
            <w:proofErr w:type="gramStart"/>
            <w:r>
              <w:rPr>
                <w:b/>
                <w:bCs/>
                <w:color w:val="C00000"/>
                <w:sz w:val="19"/>
                <w:szCs w:val="19"/>
              </w:rPr>
              <w:t>🔴</w:t>
            </w:r>
            <w:r>
              <w:rPr>
                <w:b/>
                <w:bCs/>
                <w:color w:val="C00000"/>
                <w:sz w:val="19"/>
                <w:szCs w:val="19"/>
              </w:rPr>
              <w:t xml:space="preserve">  R</w:t>
            </w:r>
            <w:proofErr w:type="gramEnd"/>
            <w:r>
              <w:rPr>
                <w:b/>
                <w:bCs/>
                <w:color w:val="C00000"/>
                <w:sz w:val="19"/>
                <w:szCs w:val="19"/>
              </w:rPr>
              <w:t>1 — Supervisión de presencia física SIEMPRE:</w:t>
            </w:r>
          </w:p>
          <w:p w14:paraId="628A223F" w14:textId="77777777" w:rsidR="00EC3C82" w:rsidRDefault="00BD6614">
            <w:pPr>
              <w:spacing w:before="40"/>
            </w:pPr>
            <w:r>
              <w:rPr>
                <w:sz w:val="18"/>
                <w:szCs w:val="18"/>
              </w:rPr>
              <w:t>• La supervisión del R1 será en todo momento de presencia física por parte de un especialista de plantilla.</w:t>
            </w:r>
          </w:p>
          <w:p w14:paraId="628A2240" w14:textId="77777777" w:rsidR="00EC3C82" w:rsidRDefault="00BD6614">
            <w:r>
              <w:rPr>
                <w:sz w:val="18"/>
                <w:szCs w:val="18"/>
              </w:rPr>
              <w:t>• El especialista supervisor visará por escrito las altas, bajas y demás documentos clínicos en los que intervenga el R1.</w:t>
            </w:r>
          </w:p>
          <w:p w14:paraId="628A2241" w14:textId="77777777" w:rsidR="00EC3C82" w:rsidRDefault="00BD6614">
            <w:r>
              <w:rPr>
                <w:b/>
                <w:bCs/>
                <w:sz w:val="18"/>
                <w:szCs w:val="18"/>
              </w:rPr>
              <w:t>• El R1 nunca está solo en Urgencias.</w:t>
            </w:r>
          </w:p>
        </w:tc>
      </w:tr>
    </w:tbl>
    <w:p w14:paraId="628A2243" w14:textId="77777777" w:rsidR="00EC3C82" w:rsidRDefault="00EC3C82">
      <w:pPr>
        <w:spacing w:before="60" w:after="60"/>
      </w:pPr>
    </w:p>
    <w:p w14:paraId="628A2244" w14:textId="77777777" w:rsidR="00EC3C82" w:rsidRDefault="00BD6614">
      <w:pPr>
        <w:pBdr>
          <w:bottom w:val="single" w:sz="6" w:space="4" w:color="1F3964"/>
        </w:pBdr>
        <w:spacing w:before="200" w:after="80"/>
      </w:pPr>
      <w:proofErr w:type="gramStart"/>
      <w:r>
        <w:rPr>
          <w:b/>
          <w:bCs/>
          <w:color w:val="1F3964"/>
          <w:sz w:val="22"/>
          <w:szCs w:val="22"/>
        </w:rPr>
        <w:t>5.2  Residentes</w:t>
      </w:r>
      <w:proofErr w:type="gramEnd"/>
      <w:r>
        <w:rPr>
          <w:b/>
          <w:bCs/>
          <w:color w:val="1F3964"/>
          <w:sz w:val="22"/>
          <w:szCs w:val="22"/>
        </w:rPr>
        <w:t xml:space="preserve"> de segundo año (R2)</w:t>
      </w:r>
    </w:p>
    <w:p w14:paraId="628A2245" w14:textId="77777777" w:rsidR="00EC3C82" w:rsidRDefault="00EC3C82">
      <w:pPr>
        <w:spacing w:before="40" w:after="40"/>
      </w:pPr>
    </w:p>
    <w:p w14:paraId="628A2246" w14:textId="77777777" w:rsidR="00EC3C82" w:rsidRDefault="00BD6614">
      <w:pPr>
        <w:spacing w:before="60" w:after="60"/>
      </w:pPr>
      <w:r>
        <w:t xml:space="preserve">Los R2 realizarán su labor asistencial en el área de consultas, en una sala individual, supervisados de modo indirecto por un facultativo de Urgencias, de forma que estarán en permanente comunicación y disposición para resolver cualquier cuestión o duda, al estar físicamente en un espacio </w:t>
      </w:r>
      <w:proofErr w:type="gramStart"/>
      <w:r>
        <w:t>común</w:t>
      </w:r>
      <w:proofErr w:type="gramEnd"/>
      <w:r>
        <w:t xml:space="preserve"> aunque en consultas separadas.</w:t>
      </w:r>
    </w:p>
    <w:p w14:paraId="628A2247" w14:textId="77777777" w:rsidR="00EC3C82" w:rsidRDefault="00EC3C82">
      <w:pPr>
        <w:spacing w:before="40" w:after="40"/>
      </w:pPr>
    </w:p>
    <w:p w14:paraId="628A2248" w14:textId="77777777" w:rsidR="00EC3C82" w:rsidRDefault="00BD6614">
      <w:pPr>
        <w:spacing w:before="60" w:after="60"/>
      </w:pPr>
      <w:r>
        <w:t>Cuando coincidan dos R2 o más, el facultativo responsable de la Urgencia decidirá la ubicación en función de la carga asistencial. La responsabilidad irá aumentando de manera progresiva, asignándose pacientes más complejos según mejore la competencia profesional. A partir del segundo año deben progresar en la práctica asistencial de carácter urgente, asumiendo mayor nivel de autonomía.</w:t>
      </w:r>
    </w:p>
    <w:p w14:paraId="628A2249" w14:textId="77777777" w:rsidR="00EC3C82" w:rsidRDefault="00EC3C82">
      <w:pPr>
        <w:spacing w:before="60" w:after="60"/>
      </w:pPr>
    </w:p>
    <w:p w14:paraId="628A224A" w14:textId="77777777" w:rsidR="00EC3C82" w:rsidRDefault="00BD6614">
      <w:pPr>
        <w:pBdr>
          <w:bottom w:val="single" w:sz="6" w:space="4" w:color="1F3964"/>
        </w:pBdr>
        <w:spacing w:before="200" w:after="80"/>
      </w:pPr>
      <w:proofErr w:type="gramStart"/>
      <w:r>
        <w:rPr>
          <w:b/>
          <w:bCs/>
          <w:color w:val="1F3964"/>
          <w:sz w:val="22"/>
          <w:szCs w:val="22"/>
        </w:rPr>
        <w:t>5.3  Residentes</w:t>
      </w:r>
      <w:proofErr w:type="gramEnd"/>
      <w:r>
        <w:rPr>
          <w:b/>
          <w:bCs/>
          <w:color w:val="1F3964"/>
          <w:sz w:val="22"/>
          <w:szCs w:val="22"/>
        </w:rPr>
        <w:t xml:space="preserve"> de tercer año (R3)</w:t>
      </w:r>
    </w:p>
    <w:p w14:paraId="628A224B" w14:textId="77777777" w:rsidR="00EC3C82" w:rsidRDefault="00EC3C82">
      <w:pPr>
        <w:spacing w:before="40" w:after="40"/>
      </w:pPr>
    </w:p>
    <w:p w14:paraId="628A224C" w14:textId="77777777" w:rsidR="00EC3C82" w:rsidRDefault="00BD6614">
      <w:pPr>
        <w:spacing w:before="60" w:after="60"/>
      </w:pPr>
      <w:r>
        <w:t>Los R3 tendrán una ubicación más variable y se tenderá a que realicen su labor asistencial en la zona de boxes, aunque el responsable de la guardia en Urgencias podrá modificar su ubicación hacia aquellas zonas donde la presión asistencial lo demande o el interés docente lo recomiende. Además, podrán realizar actividades de coordinación de residentes de años inferiores.</w:t>
      </w:r>
    </w:p>
    <w:p w14:paraId="628A224D" w14:textId="77777777" w:rsidR="00EC3C82" w:rsidRDefault="00EC3C82">
      <w:pPr>
        <w:spacing w:before="60" w:after="60"/>
      </w:pPr>
    </w:p>
    <w:p w14:paraId="628A224E" w14:textId="77777777" w:rsidR="00EC3C82" w:rsidRDefault="00BD6614">
      <w:pPr>
        <w:pBdr>
          <w:bottom w:val="single" w:sz="6" w:space="4" w:color="1F3964"/>
        </w:pBdr>
        <w:spacing w:before="200" w:after="80"/>
      </w:pPr>
      <w:proofErr w:type="gramStart"/>
      <w:r>
        <w:rPr>
          <w:b/>
          <w:bCs/>
          <w:color w:val="1F3964"/>
          <w:sz w:val="22"/>
          <w:szCs w:val="22"/>
        </w:rPr>
        <w:t>5.4  Residentes</w:t>
      </w:r>
      <w:proofErr w:type="gramEnd"/>
      <w:r>
        <w:rPr>
          <w:b/>
          <w:bCs/>
          <w:color w:val="1F3964"/>
          <w:sz w:val="22"/>
          <w:szCs w:val="22"/>
        </w:rPr>
        <w:t xml:space="preserve"> de cuarto y quinto año (R4-R5)</w:t>
      </w:r>
    </w:p>
    <w:p w14:paraId="628A224F" w14:textId="77777777" w:rsidR="00EC3C82" w:rsidRDefault="00EC3C82">
      <w:pPr>
        <w:spacing w:before="40" w:after="40"/>
      </w:pPr>
    </w:p>
    <w:p w14:paraId="628A2250" w14:textId="77777777" w:rsidR="00EC3C82" w:rsidRDefault="00BD6614">
      <w:pPr>
        <w:spacing w:before="60" w:after="60"/>
      </w:pPr>
      <w:r>
        <w:t>Los residentes de cuarto y quinto año actúan con un nivel de autonomía máximo (nivel 1), ayudando a los adjuntos en la coordinación de los circuitos de la urgencia donde desempeñen sus funciones.</w:t>
      </w:r>
    </w:p>
    <w:p w14:paraId="628A2251"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253" w14:textId="77777777">
        <w:tc>
          <w:tcPr>
            <w:tcW w:w="9026" w:type="dxa"/>
            <w:tcBorders>
              <w:top w:val="single" w:sz="6" w:space="0" w:color="1F3964"/>
              <w:left w:val="single" w:sz="6" w:space="0" w:color="1F3964"/>
              <w:bottom w:val="single" w:sz="6" w:space="0" w:color="1F3964"/>
              <w:right w:val="single" w:sz="6" w:space="0" w:color="1F3964"/>
            </w:tcBorders>
            <w:shd w:val="clear" w:color="auto" w:fill="DEEAF1"/>
            <w:tcMar>
              <w:top w:w="80" w:type="dxa"/>
              <w:left w:w="140" w:type="dxa"/>
              <w:bottom w:w="80" w:type="dxa"/>
              <w:right w:w="140" w:type="dxa"/>
            </w:tcMar>
          </w:tcPr>
          <w:p w14:paraId="628A2252" w14:textId="77777777" w:rsidR="00EC3C82" w:rsidRDefault="00BD6614">
            <w:r>
              <w:rPr>
                <w:color w:val="1F3964"/>
                <w:sz w:val="19"/>
                <w:szCs w:val="19"/>
              </w:rPr>
              <w:t>Todos los residentes, independientemente del año, tienen siempre al menos un especialista de plantilla como referencia en la zona de trabajo donde van a desarrollar su labor.</w:t>
            </w:r>
          </w:p>
        </w:tc>
      </w:tr>
    </w:tbl>
    <w:p w14:paraId="628A2254" w14:textId="77777777" w:rsidR="00EC3C82" w:rsidRDefault="00EC3C82">
      <w:pPr>
        <w:spacing w:before="60" w:after="60"/>
      </w:pPr>
    </w:p>
    <w:p w14:paraId="628A2255" w14:textId="77777777" w:rsidR="00EC3C82" w:rsidRDefault="00EC3C82">
      <w:pPr>
        <w:pageBreakBefore/>
      </w:pPr>
    </w:p>
    <w:p w14:paraId="628A2256" w14:textId="77777777" w:rsidR="00EC3C82" w:rsidRDefault="00BD6614">
      <w:pPr>
        <w:shd w:val="clear" w:color="auto" w:fill="1F3964"/>
        <w:spacing w:before="280" w:after="100"/>
      </w:pPr>
      <w:r>
        <w:rPr>
          <w:b/>
          <w:bCs/>
          <w:color w:val="FFFFFF"/>
          <w:sz w:val="24"/>
          <w:szCs w:val="24"/>
        </w:rPr>
        <w:t>6.  NIVELES DE SUPERVISIÓN POR HABILIDAD — TABLA RESUMEN</w:t>
      </w:r>
    </w:p>
    <w:p w14:paraId="628A2257"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7"/>
        <w:gridCol w:w="2124"/>
        <w:gridCol w:w="708"/>
        <w:gridCol w:w="2124"/>
        <w:gridCol w:w="708"/>
        <w:gridCol w:w="2655"/>
      </w:tblGrid>
      <w:tr w:rsidR="00EC3C82" w14:paraId="628A225E" w14:textId="77777777">
        <w:tc>
          <w:tcPr>
            <w:tcW w:w="7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80" w:type="dxa"/>
              <w:bottom w:w="50" w:type="dxa"/>
              <w:right w:w="80" w:type="dxa"/>
            </w:tcMar>
          </w:tcPr>
          <w:p w14:paraId="628A2258" w14:textId="77777777" w:rsidR="00EC3C82" w:rsidRDefault="00BD6614">
            <w:pPr>
              <w:jc w:val="center"/>
            </w:pPr>
            <w:r>
              <w:rPr>
                <w:b/>
                <w:bCs/>
                <w:color w:val="C00000"/>
              </w:rPr>
              <w:t>3</w:t>
            </w:r>
          </w:p>
        </w:tc>
        <w:tc>
          <w:tcPr>
            <w:tcW w:w="2100" w:type="dxa"/>
            <w:tcBorders>
              <w:top w:val="single" w:sz="4" w:space="0" w:color="C00000"/>
              <w:left w:val="single" w:sz="4" w:space="0" w:color="C00000"/>
              <w:bottom w:val="single" w:sz="4" w:space="0" w:color="C00000"/>
              <w:right w:val="single" w:sz="4" w:space="0" w:color="C00000"/>
            </w:tcBorders>
            <w:shd w:val="clear" w:color="auto" w:fill="FFE7E7"/>
            <w:tcMar>
              <w:top w:w="60" w:type="dxa"/>
              <w:left w:w="80" w:type="dxa"/>
              <w:bottom w:w="60" w:type="dxa"/>
              <w:right w:w="80" w:type="dxa"/>
            </w:tcMar>
            <w:vAlign w:val="center"/>
          </w:tcPr>
          <w:p w14:paraId="628A2259" w14:textId="77777777" w:rsidR="00EC3C82" w:rsidRDefault="00BD6614">
            <w:r>
              <w:rPr>
                <w:sz w:val="18"/>
                <w:szCs w:val="18"/>
              </w:rPr>
              <w:t>Realización por especialista</w:t>
            </w:r>
          </w:p>
        </w:tc>
        <w:tc>
          <w:tcPr>
            <w:tcW w:w="700" w:type="dxa"/>
            <w:tcBorders>
              <w:top w:val="single" w:sz="4" w:space="0" w:color="C55A11"/>
              <w:left w:val="single" w:sz="4" w:space="0" w:color="C55A11"/>
              <w:bottom w:val="single" w:sz="4" w:space="0" w:color="C55A11"/>
              <w:right w:val="single" w:sz="4" w:space="0" w:color="C55A11"/>
            </w:tcBorders>
            <w:shd w:val="clear" w:color="auto" w:fill="FCE4D6"/>
            <w:tcMar>
              <w:top w:w="50" w:type="dxa"/>
              <w:left w:w="80" w:type="dxa"/>
              <w:bottom w:w="50" w:type="dxa"/>
              <w:right w:w="80" w:type="dxa"/>
            </w:tcMar>
          </w:tcPr>
          <w:p w14:paraId="628A225A" w14:textId="77777777" w:rsidR="00EC3C82" w:rsidRDefault="00BD6614">
            <w:pPr>
              <w:jc w:val="center"/>
            </w:pPr>
            <w:r>
              <w:rPr>
                <w:b/>
                <w:bCs/>
                <w:color w:val="C55A11"/>
              </w:rPr>
              <w:t>2</w:t>
            </w:r>
          </w:p>
        </w:tc>
        <w:tc>
          <w:tcPr>
            <w:tcW w:w="2100" w:type="dxa"/>
            <w:tcBorders>
              <w:top w:val="single" w:sz="4" w:space="0" w:color="C55A11"/>
              <w:left w:val="single" w:sz="4" w:space="0" w:color="C55A11"/>
              <w:bottom w:val="single" w:sz="4" w:space="0" w:color="C55A11"/>
              <w:right w:val="single" w:sz="4" w:space="0" w:color="C55A11"/>
            </w:tcBorders>
            <w:shd w:val="clear" w:color="auto" w:fill="FCE4D6"/>
            <w:tcMar>
              <w:top w:w="60" w:type="dxa"/>
              <w:left w:w="80" w:type="dxa"/>
              <w:bottom w:w="60" w:type="dxa"/>
              <w:right w:w="80" w:type="dxa"/>
            </w:tcMar>
            <w:vAlign w:val="center"/>
          </w:tcPr>
          <w:p w14:paraId="628A225B" w14:textId="77777777" w:rsidR="00EC3C82" w:rsidRDefault="00BD6614">
            <w:r>
              <w:rPr>
                <w:sz w:val="18"/>
                <w:szCs w:val="18"/>
              </w:rPr>
              <w:t>Supervisión directa</w:t>
            </w:r>
          </w:p>
        </w:tc>
        <w:tc>
          <w:tcPr>
            <w:tcW w:w="7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80" w:type="dxa"/>
              <w:bottom w:w="50" w:type="dxa"/>
              <w:right w:w="80" w:type="dxa"/>
            </w:tcMar>
          </w:tcPr>
          <w:p w14:paraId="628A225C" w14:textId="77777777" w:rsidR="00EC3C82" w:rsidRDefault="00BD6614">
            <w:pPr>
              <w:jc w:val="center"/>
            </w:pPr>
            <w:r>
              <w:rPr>
                <w:b/>
                <w:bCs/>
                <w:color w:val="375623"/>
              </w:rPr>
              <w:t>1</w:t>
            </w:r>
          </w:p>
        </w:tc>
        <w:tc>
          <w:tcPr>
            <w:tcW w:w="2626" w:type="dxa"/>
            <w:tcBorders>
              <w:top w:val="single" w:sz="4" w:space="0" w:color="375623"/>
              <w:left w:val="single" w:sz="4" w:space="0" w:color="375623"/>
              <w:bottom w:val="single" w:sz="4" w:space="0" w:color="375623"/>
              <w:right w:val="single" w:sz="4" w:space="0" w:color="375623"/>
            </w:tcBorders>
            <w:shd w:val="clear" w:color="auto" w:fill="E2EFDA"/>
            <w:tcMar>
              <w:top w:w="60" w:type="dxa"/>
              <w:left w:w="80" w:type="dxa"/>
              <w:bottom w:w="60" w:type="dxa"/>
              <w:right w:w="80" w:type="dxa"/>
            </w:tcMar>
            <w:vAlign w:val="center"/>
          </w:tcPr>
          <w:p w14:paraId="628A225D" w14:textId="77777777" w:rsidR="00EC3C82" w:rsidRDefault="00BD6614">
            <w:r>
              <w:rPr>
                <w:sz w:val="18"/>
                <w:szCs w:val="18"/>
              </w:rPr>
              <w:t>Supervisión a demanda (autónomo)</w:t>
            </w:r>
          </w:p>
        </w:tc>
      </w:tr>
    </w:tbl>
    <w:p w14:paraId="628A225F"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26"/>
        <w:gridCol w:w="900"/>
        <w:gridCol w:w="900"/>
        <w:gridCol w:w="900"/>
        <w:gridCol w:w="900"/>
      </w:tblGrid>
      <w:tr w:rsidR="00EC3C82" w14:paraId="628A2265" w14:textId="77777777">
        <w:tc>
          <w:tcPr>
            <w:tcW w:w="5426"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60" w14:textId="77777777" w:rsidR="00EC3C82" w:rsidRDefault="00BD6614">
            <w:pPr>
              <w:jc w:val="center"/>
            </w:pPr>
            <w:r>
              <w:rPr>
                <w:b/>
                <w:bCs/>
                <w:color w:val="FFFFFF"/>
                <w:sz w:val="19"/>
                <w:szCs w:val="19"/>
              </w:rPr>
              <w:t>Habilidad / Actuación</w:t>
            </w:r>
          </w:p>
        </w:tc>
        <w:tc>
          <w:tcPr>
            <w:tcW w:w="900"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61" w14:textId="77777777" w:rsidR="00EC3C82" w:rsidRDefault="00BD6614">
            <w:pPr>
              <w:jc w:val="center"/>
            </w:pPr>
            <w:r>
              <w:rPr>
                <w:b/>
                <w:bCs/>
                <w:color w:val="FFFFFF"/>
                <w:sz w:val="19"/>
                <w:szCs w:val="19"/>
              </w:rPr>
              <w:t>R1</w:t>
            </w:r>
          </w:p>
        </w:tc>
        <w:tc>
          <w:tcPr>
            <w:tcW w:w="900"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62" w14:textId="77777777" w:rsidR="00EC3C82" w:rsidRDefault="00BD6614">
            <w:pPr>
              <w:jc w:val="center"/>
            </w:pPr>
            <w:r>
              <w:rPr>
                <w:b/>
                <w:bCs/>
                <w:color w:val="FFFFFF"/>
                <w:sz w:val="19"/>
                <w:szCs w:val="19"/>
              </w:rPr>
              <w:t>R2</w:t>
            </w:r>
          </w:p>
        </w:tc>
        <w:tc>
          <w:tcPr>
            <w:tcW w:w="900"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63" w14:textId="77777777" w:rsidR="00EC3C82" w:rsidRDefault="00BD6614">
            <w:pPr>
              <w:jc w:val="center"/>
            </w:pPr>
            <w:r>
              <w:rPr>
                <w:b/>
                <w:bCs/>
                <w:color w:val="FFFFFF"/>
                <w:sz w:val="19"/>
                <w:szCs w:val="19"/>
              </w:rPr>
              <w:t>R3</w:t>
            </w:r>
          </w:p>
        </w:tc>
        <w:tc>
          <w:tcPr>
            <w:tcW w:w="900" w:type="dxa"/>
            <w:tcBorders>
              <w:top w:val="single" w:sz="4" w:space="0" w:color="1F3964"/>
              <w:left w:val="single" w:sz="4" w:space="0" w:color="1F3964"/>
              <w:bottom w:val="single" w:sz="4" w:space="0" w:color="1F3964"/>
              <w:right w:val="single" w:sz="4" w:space="0" w:color="1F3964"/>
            </w:tcBorders>
            <w:shd w:val="clear" w:color="auto" w:fill="1F3964"/>
            <w:tcMar>
              <w:top w:w="60" w:type="dxa"/>
              <w:left w:w="80" w:type="dxa"/>
              <w:bottom w:w="60" w:type="dxa"/>
              <w:right w:w="80" w:type="dxa"/>
            </w:tcMar>
            <w:vAlign w:val="center"/>
          </w:tcPr>
          <w:p w14:paraId="628A2264" w14:textId="77777777" w:rsidR="00EC3C82" w:rsidRDefault="00BD6614">
            <w:pPr>
              <w:jc w:val="center"/>
            </w:pPr>
            <w:r>
              <w:rPr>
                <w:b/>
                <w:bCs/>
                <w:color w:val="FFFFFF"/>
                <w:sz w:val="19"/>
                <w:szCs w:val="19"/>
              </w:rPr>
              <w:t>R4-R5</w:t>
            </w:r>
          </w:p>
        </w:tc>
      </w:tr>
      <w:tr w:rsidR="00EC3C82" w14:paraId="628A226B"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66" w14:textId="77777777" w:rsidR="00EC3C82" w:rsidRDefault="00BD6614">
            <w:r>
              <w:rPr>
                <w:sz w:val="18"/>
                <w:szCs w:val="18"/>
              </w:rPr>
              <w:t>Presentación e información a familiares y paciente</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67"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68"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69"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6A" w14:textId="77777777" w:rsidR="00EC3C82" w:rsidRDefault="00BD6614">
            <w:pPr>
              <w:jc w:val="center"/>
            </w:pPr>
            <w:r>
              <w:rPr>
                <w:b/>
                <w:bCs/>
                <w:color w:val="375623"/>
                <w:sz w:val="19"/>
                <w:szCs w:val="19"/>
              </w:rPr>
              <w:t>1</w:t>
            </w:r>
          </w:p>
        </w:tc>
      </w:tr>
      <w:tr w:rsidR="00EC3C82" w14:paraId="628A2271" w14:textId="77777777">
        <w:tc>
          <w:tcPr>
            <w:tcW w:w="5426"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26C" w14:textId="77777777" w:rsidR="00EC3C82" w:rsidRDefault="00BD6614">
            <w:r>
              <w:rPr>
                <w:sz w:val="18"/>
                <w:szCs w:val="18"/>
              </w:rPr>
              <w:t>Comunicación de malas noticias</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6D"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6E"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6F"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70" w14:textId="77777777" w:rsidR="00EC3C82" w:rsidRDefault="00BD6614">
            <w:pPr>
              <w:jc w:val="center"/>
            </w:pPr>
            <w:r>
              <w:rPr>
                <w:b/>
                <w:bCs/>
                <w:color w:val="375623"/>
                <w:sz w:val="19"/>
                <w:szCs w:val="19"/>
              </w:rPr>
              <w:t>1</w:t>
            </w:r>
          </w:p>
        </w:tc>
      </w:tr>
      <w:tr w:rsidR="00EC3C82" w14:paraId="628A2277"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72" w14:textId="77777777" w:rsidR="00EC3C82" w:rsidRDefault="00BD6614">
            <w:r>
              <w:rPr>
                <w:sz w:val="18"/>
                <w:szCs w:val="18"/>
              </w:rPr>
              <w:t>Elaboración de historia clínica, orientación del motivo de consulta y valoración de la gravedad</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73" w14:textId="77777777" w:rsidR="00EC3C82" w:rsidRDefault="00BD6614">
            <w:pPr>
              <w:jc w:val="center"/>
            </w:pPr>
            <w:r>
              <w:rPr>
                <w:b/>
                <w:bCs/>
                <w:color w:val="C00000"/>
                <w:sz w:val="19"/>
                <w:szCs w:val="19"/>
              </w:rPr>
              <w:t>3</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74"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75"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76" w14:textId="77777777" w:rsidR="00EC3C82" w:rsidRDefault="00BD6614">
            <w:pPr>
              <w:jc w:val="center"/>
            </w:pPr>
            <w:r>
              <w:rPr>
                <w:b/>
                <w:bCs/>
                <w:color w:val="375623"/>
                <w:sz w:val="19"/>
                <w:szCs w:val="19"/>
              </w:rPr>
              <w:t>1</w:t>
            </w:r>
          </w:p>
        </w:tc>
      </w:tr>
      <w:tr w:rsidR="00EC3C82" w14:paraId="628A227D" w14:textId="77777777">
        <w:tc>
          <w:tcPr>
            <w:tcW w:w="5426"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278" w14:textId="77777777" w:rsidR="00EC3C82" w:rsidRDefault="00BD6614">
            <w:r>
              <w:rPr>
                <w:sz w:val="18"/>
                <w:szCs w:val="18"/>
              </w:rPr>
              <w:t>Evaluación del estado mental del paciente</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79" w14:textId="77777777" w:rsidR="00EC3C82" w:rsidRDefault="00BD6614">
            <w:pPr>
              <w:jc w:val="center"/>
            </w:pPr>
            <w:r>
              <w:rPr>
                <w:b/>
                <w:bCs/>
                <w:color w:val="C00000"/>
                <w:sz w:val="19"/>
                <w:szCs w:val="19"/>
              </w:rPr>
              <w:t>3</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7A"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7B"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7C" w14:textId="77777777" w:rsidR="00EC3C82" w:rsidRDefault="00BD6614">
            <w:pPr>
              <w:jc w:val="center"/>
            </w:pPr>
            <w:r>
              <w:rPr>
                <w:b/>
                <w:bCs/>
                <w:color w:val="375623"/>
                <w:sz w:val="19"/>
                <w:szCs w:val="19"/>
              </w:rPr>
              <w:t>1</w:t>
            </w:r>
          </w:p>
        </w:tc>
      </w:tr>
      <w:tr w:rsidR="00EC3C82" w14:paraId="628A2283"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7E" w14:textId="77777777" w:rsidR="00EC3C82" w:rsidRDefault="00BD6614">
            <w:r>
              <w:rPr>
                <w:sz w:val="18"/>
                <w:szCs w:val="18"/>
              </w:rPr>
              <w:t>Exploración física general y específica según la orientación clínica</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7F" w14:textId="77777777" w:rsidR="00EC3C82" w:rsidRDefault="00BD6614">
            <w:pPr>
              <w:jc w:val="center"/>
            </w:pPr>
            <w:r>
              <w:rPr>
                <w:b/>
                <w:bCs/>
                <w:color w:val="C00000"/>
                <w:sz w:val="19"/>
                <w:szCs w:val="19"/>
              </w:rPr>
              <w:t>3</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80"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81"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82" w14:textId="77777777" w:rsidR="00EC3C82" w:rsidRDefault="00BD6614">
            <w:pPr>
              <w:jc w:val="center"/>
            </w:pPr>
            <w:r>
              <w:rPr>
                <w:b/>
                <w:bCs/>
                <w:color w:val="375623"/>
                <w:sz w:val="19"/>
                <w:szCs w:val="19"/>
              </w:rPr>
              <w:t>1</w:t>
            </w:r>
          </w:p>
        </w:tc>
      </w:tr>
      <w:tr w:rsidR="00EC3C82" w14:paraId="628A2289" w14:textId="77777777">
        <w:tc>
          <w:tcPr>
            <w:tcW w:w="5426"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284" w14:textId="77777777" w:rsidR="00EC3C82" w:rsidRDefault="00BD6614">
            <w:r>
              <w:rPr>
                <w:sz w:val="18"/>
                <w:szCs w:val="18"/>
              </w:rPr>
              <w:t>Utilización racional de pruebas complementarias (analítica e imagen básica) e interpretación</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85"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86"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87"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88" w14:textId="77777777" w:rsidR="00EC3C82" w:rsidRDefault="00BD6614">
            <w:pPr>
              <w:jc w:val="center"/>
            </w:pPr>
            <w:r>
              <w:rPr>
                <w:b/>
                <w:bCs/>
                <w:color w:val="375623"/>
                <w:sz w:val="19"/>
                <w:szCs w:val="19"/>
              </w:rPr>
              <w:t>1</w:t>
            </w:r>
          </w:p>
        </w:tc>
      </w:tr>
      <w:tr w:rsidR="00EC3C82" w14:paraId="628A228F"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8A" w14:textId="77777777" w:rsidR="00EC3C82" w:rsidRDefault="00BD6614">
            <w:r>
              <w:rPr>
                <w:sz w:val="18"/>
                <w:szCs w:val="18"/>
              </w:rPr>
              <w:t>Interpretación de ECG</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8B"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8C"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8D"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8E" w14:textId="77777777" w:rsidR="00EC3C82" w:rsidRDefault="00BD6614">
            <w:pPr>
              <w:jc w:val="center"/>
            </w:pPr>
            <w:r>
              <w:rPr>
                <w:b/>
                <w:bCs/>
                <w:color w:val="375623"/>
                <w:sz w:val="19"/>
                <w:szCs w:val="19"/>
              </w:rPr>
              <w:t>1</w:t>
            </w:r>
          </w:p>
        </w:tc>
      </w:tr>
      <w:tr w:rsidR="00EC3C82" w14:paraId="628A2295" w14:textId="77777777">
        <w:tc>
          <w:tcPr>
            <w:tcW w:w="5426"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290" w14:textId="77777777" w:rsidR="00EC3C82" w:rsidRDefault="00BD6614">
            <w:r>
              <w:rPr>
                <w:sz w:val="18"/>
                <w:szCs w:val="18"/>
              </w:rPr>
              <w:t>Indicación de pruebas diagnósticas especiales</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91"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92"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93"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94" w14:textId="77777777" w:rsidR="00EC3C82" w:rsidRDefault="00BD6614">
            <w:pPr>
              <w:jc w:val="center"/>
            </w:pPr>
            <w:r>
              <w:rPr>
                <w:b/>
                <w:bCs/>
                <w:color w:val="375623"/>
                <w:sz w:val="19"/>
                <w:szCs w:val="19"/>
              </w:rPr>
              <w:t>1</w:t>
            </w:r>
          </w:p>
        </w:tc>
      </w:tr>
      <w:tr w:rsidR="00EC3C82" w14:paraId="628A229B"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96" w14:textId="77777777" w:rsidR="00EC3C82" w:rsidRDefault="00BD6614">
            <w:r>
              <w:rPr>
                <w:sz w:val="18"/>
                <w:szCs w:val="18"/>
              </w:rPr>
              <w:t>Solicitud de interconsulta a especialistas</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97"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98"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99"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9A" w14:textId="77777777" w:rsidR="00EC3C82" w:rsidRDefault="00BD6614">
            <w:pPr>
              <w:jc w:val="center"/>
            </w:pPr>
            <w:r>
              <w:rPr>
                <w:b/>
                <w:bCs/>
                <w:color w:val="375623"/>
                <w:sz w:val="19"/>
                <w:szCs w:val="19"/>
              </w:rPr>
              <w:t>1</w:t>
            </w:r>
          </w:p>
        </w:tc>
      </w:tr>
      <w:tr w:rsidR="00EC3C82" w14:paraId="628A22A1" w14:textId="77777777">
        <w:tc>
          <w:tcPr>
            <w:tcW w:w="5426"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29C" w14:textId="77777777" w:rsidR="00EC3C82" w:rsidRDefault="00BD6614">
            <w:r>
              <w:rPr>
                <w:sz w:val="18"/>
                <w:szCs w:val="18"/>
              </w:rPr>
              <w:t xml:space="preserve">Técnicas diagnósticas (paracentesis, toracocentesis, punción lumbar, </w:t>
            </w:r>
            <w:proofErr w:type="spellStart"/>
            <w:r>
              <w:rPr>
                <w:sz w:val="18"/>
                <w:szCs w:val="18"/>
              </w:rPr>
              <w:t>artrocentesis</w:t>
            </w:r>
            <w:proofErr w:type="spellEnd"/>
            <w:r>
              <w:rPr>
                <w:sz w:val="18"/>
                <w:szCs w:val="18"/>
              </w:rPr>
              <w:t>, accesos venosos y arteriales)</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9D"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9E"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9F"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A0" w14:textId="77777777" w:rsidR="00EC3C82" w:rsidRDefault="00BD6614">
            <w:pPr>
              <w:jc w:val="center"/>
            </w:pPr>
            <w:r>
              <w:rPr>
                <w:b/>
                <w:bCs/>
                <w:color w:val="375623"/>
                <w:sz w:val="19"/>
                <w:szCs w:val="19"/>
              </w:rPr>
              <w:t>1</w:t>
            </w:r>
          </w:p>
        </w:tc>
      </w:tr>
      <w:tr w:rsidR="00EC3C82" w14:paraId="628A22A7"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A2" w14:textId="77777777" w:rsidR="00EC3C82" w:rsidRDefault="00BD6614">
            <w:r>
              <w:rPr>
                <w:sz w:val="18"/>
                <w:szCs w:val="18"/>
              </w:rPr>
              <w:t>Sondaje vesical y nasogástrico</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A3"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A4"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A5"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A6" w14:textId="77777777" w:rsidR="00EC3C82" w:rsidRDefault="00BD6614">
            <w:pPr>
              <w:jc w:val="center"/>
            </w:pPr>
            <w:r>
              <w:rPr>
                <w:b/>
                <w:bCs/>
                <w:color w:val="375623"/>
                <w:sz w:val="19"/>
                <w:szCs w:val="19"/>
              </w:rPr>
              <w:t>1</w:t>
            </w:r>
          </w:p>
        </w:tc>
      </w:tr>
      <w:tr w:rsidR="00EC3C82" w14:paraId="628A22AD" w14:textId="77777777">
        <w:tc>
          <w:tcPr>
            <w:tcW w:w="5426"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2A8" w14:textId="77777777" w:rsidR="00EC3C82" w:rsidRDefault="00BD6614">
            <w:r>
              <w:rPr>
                <w:sz w:val="18"/>
                <w:szCs w:val="18"/>
              </w:rPr>
              <w:t>Monitorización de un paciente urgente</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A9"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AA"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AB"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AC" w14:textId="77777777" w:rsidR="00EC3C82" w:rsidRDefault="00BD6614">
            <w:pPr>
              <w:jc w:val="center"/>
            </w:pPr>
            <w:r>
              <w:rPr>
                <w:b/>
                <w:bCs/>
                <w:color w:val="375623"/>
                <w:sz w:val="19"/>
                <w:szCs w:val="19"/>
              </w:rPr>
              <w:t>1</w:t>
            </w:r>
          </w:p>
        </w:tc>
      </w:tr>
      <w:tr w:rsidR="00EC3C82" w14:paraId="628A22B3"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AE" w14:textId="77777777" w:rsidR="00EC3C82" w:rsidRDefault="00BD6614">
            <w:r>
              <w:rPr>
                <w:sz w:val="18"/>
                <w:szCs w:val="18"/>
              </w:rPr>
              <w:t>Utilización de los principales fármacos de urgencias</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AF" w14:textId="77777777" w:rsidR="00EC3C82" w:rsidRDefault="00BD6614">
            <w:pPr>
              <w:jc w:val="center"/>
            </w:pPr>
            <w:r>
              <w:rPr>
                <w:b/>
                <w:bCs/>
                <w:color w:val="C00000"/>
                <w:sz w:val="19"/>
                <w:szCs w:val="19"/>
              </w:rPr>
              <w:t>3</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B0"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B1"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B2" w14:textId="77777777" w:rsidR="00EC3C82" w:rsidRDefault="00BD6614">
            <w:pPr>
              <w:jc w:val="center"/>
            </w:pPr>
            <w:r>
              <w:rPr>
                <w:b/>
                <w:bCs/>
                <w:color w:val="375623"/>
                <w:sz w:val="19"/>
                <w:szCs w:val="19"/>
              </w:rPr>
              <w:t>1</w:t>
            </w:r>
          </w:p>
        </w:tc>
      </w:tr>
      <w:tr w:rsidR="00EC3C82" w14:paraId="628A22B9" w14:textId="77777777">
        <w:tc>
          <w:tcPr>
            <w:tcW w:w="5426"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2B4" w14:textId="77777777" w:rsidR="00EC3C82" w:rsidRDefault="00BD6614">
            <w:r>
              <w:rPr>
                <w:sz w:val="18"/>
                <w:szCs w:val="18"/>
              </w:rPr>
              <w:t>Uso de antibióticos</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B5"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B6" w14:textId="77777777" w:rsidR="00EC3C82" w:rsidRDefault="00BD6614">
            <w:pPr>
              <w:jc w:val="center"/>
            </w:pPr>
            <w:r>
              <w:rPr>
                <w:b/>
                <w:bCs/>
                <w:color w:val="C55A11"/>
                <w:sz w:val="19"/>
                <w:szCs w:val="19"/>
              </w:rPr>
              <w:t>2</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B7"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B8" w14:textId="77777777" w:rsidR="00EC3C82" w:rsidRDefault="00BD6614">
            <w:pPr>
              <w:jc w:val="center"/>
            </w:pPr>
            <w:r>
              <w:rPr>
                <w:b/>
                <w:bCs/>
                <w:color w:val="375623"/>
                <w:sz w:val="19"/>
                <w:szCs w:val="19"/>
              </w:rPr>
              <w:t>1</w:t>
            </w:r>
          </w:p>
        </w:tc>
      </w:tr>
      <w:tr w:rsidR="00EC3C82" w14:paraId="628A22BF"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BA" w14:textId="77777777" w:rsidR="00EC3C82" w:rsidRDefault="00BD6614">
            <w:r>
              <w:rPr>
                <w:sz w:val="18"/>
                <w:szCs w:val="18"/>
              </w:rPr>
              <w:t xml:space="preserve">Valoración inicial del </w:t>
            </w:r>
            <w:proofErr w:type="spellStart"/>
            <w:r>
              <w:rPr>
                <w:sz w:val="18"/>
                <w:szCs w:val="18"/>
              </w:rPr>
              <w:t>politrauma</w:t>
            </w:r>
            <w:proofErr w:type="spellEnd"/>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BB" w14:textId="77777777" w:rsidR="00EC3C82" w:rsidRDefault="00BD6614">
            <w:pPr>
              <w:jc w:val="center"/>
            </w:pPr>
            <w:r>
              <w:rPr>
                <w:b/>
                <w:bCs/>
                <w:color w:val="C00000"/>
                <w:sz w:val="19"/>
                <w:szCs w:val="19"/>
              </w:rPr>
              <w:t>3</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BC"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BD"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BE" w14:textId="77777777" w:rsidR="00EC3C82" w:rsidRDefault="00BD6614">
            <w:pPr>
              <w:jc w:val="center"/>
            </w:pPr>
            <w:r>
              <w:rPr>
                <w:b/>
                <w:bCs/>
                <w:color w:val="375623"/>
                <w:sz w:val="19"/>
                <w:szCs w:val="19"/>
              </w:rPr>
              <w:t>1</w:t>
            </w:r>
          </w:p>
        </w:tc>
      </w:tr>
      <w:tr w:rsidR="00EC3C82" w14:paraId="628A22C5" w14:textId="77777777">
        <w:tc>
          <w:tcPr>
            <w:tcW w:w="5426" w:type="dxa"/>
            <w:tcBorders>
              <w:top w:val="single" w:sz="4" w:space="0" w:color="1F3964"/>
              <w:left w:val="single" w:sz="4" w:space="0" w:color="1F3964"/>
              <w:bottom w:val="single" w:sz="4" w:space="0" w:color="1F3964"/>
              <w:right w:val="single" w:sz="4" w:space="0" w:color="1F3964"/>
            </w:tcBorders>
            <w:shd w:val="clear" w:color="auto" w:fill="F2F2F2"/>
            <w:tcMar>
              <w:top w:w="60" w:type="dxa"/>
              <w:left w:w="80" w:type="dxa"/>
              <w:bottom w:w="60" w:type="dxa"/>
              <w:right w:w="80" w:type="dxa"/>
            </w:tcMar>
            <w:vAlign w:val="center"/>
          </w:tcPr>
          <w:p w14:paraId="628A22C0" w14:textId="77777777" w:rsidR="00EC3C82" w:rsidRDefault="00BD6614">
            <w:r>
              <w:rPr>
                <w:sz w:val="18"/>
                <w:szCs w:val="18"/>
              </w:rPr>
              <w:t>RCP básica y avanzada / soporte ventilatorio no invasivo</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C1"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C2"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C3" w14:textId="77777777" w:rsidR="00EC3C82" w:rsidRDefault="00BD6614">
            <w:pPr>
              <w:jc w:val="center"/>
            </w:pPr>
            <w:r>
              <w:rPr>
                <w:b/>
                <w:bCs/>
                <w:color w:val="375623"/>
                <w:sz w:val="19"/>
                <w:szCs w:val="19"/>
              </w:rPr>
              <w:t>1</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C4" w14:textId="77777777" w:rsidR="00EC3C82" w:rsidRDefault="00BD6614">
            <w:pPr>
              <w:jc w:val="center"/>
            </w:pPr>
            <w:r>
              <w:rPr>
                <w:b/>
                <w:bCs/>
                <w:color w:val="375623"/>
                <w:sz w:val="19"/>
                <w:szCs w:val="19"/>
              </w:rPr>
              <w:t>1</w:t>
            </w:r>
          </w:p>
        </w:tc>
      </w:tr>
      <w:tr w:rsidR="00EC3C82" w14:paraId="628A22CB" w14:textId="77777777">
        <w:tc>
          <w:tcPr>
            <w:tcW w:w="5426" w:type="dxa"/>
            <w:tcBorders>
              <w:top w:val="single" w:sz="4" w:space="0" w:color="1F3964"/>
              <w:left w:val="single" w:sz="4" w:space="0" w:color="1F3964"/>
              <w:bottom w:val="single" w:sz="4" w:space="0" w:color="1F3964"/>
              <w:right w:val="single" w:sz="4" w:space="0" w:color="1F3964"/>
            </w:tcBorders>
            <w:shd w:val="clear" w:color="auto" w:fill="FFFFFF"/>
            <w:tcMar>
              <w:top w:w="60" w:type="dxa"/>
              <w:left w:w="80" w:type="dxa"/>
              <w:bottom w:w="60" w:type="dxa"/>
              <w:right w:w="80" w:type="dxa"/>
            </w:tcMar>
            <w:vAlign w:val="center"/>
          </w:tcPr>
          <w:p w14:paraId="628A22C6" w14:textId="77777777" w:rsidR="00EC3C82" w:rsidRDefault="00BD6614">
            <w:r>
              <w:rPr>
                <w:sz w:val="18"/>
                <w:szCs w:val="18"/>
              </w:rPr>
              <w:t>Decisión del destino del enfermo: alta, ingreso convencional, ingreso en UCI/UCIR/CMA</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C7" w14:textId="77777777" w:rsidR="00EC3C82" w:rsidRDefault="00BD6614">
            <w:pPr>
              <w:jc w:val="center"/>
            </w:pPr>
            <w:r>
              <w:rPr>
                <w:b/>
                <w:bCs/>
                <w:color w:val="C00000"/>
                <w:sz w:val="19"/>
                <w:szCs w:val="19"/>
              </w:rPr>
              <w:t>3</w:t>
            </w:r>
          </w:p>
        </w:tc>
        <w:tc>
          <w:tcPr>
            <w:tcW w:w="900" w:type="dxa"/>
            <w:tcBorders>
              <w:top w:val="single" w:sz="4" w:space="0" w:color="C00000"/>
              <w:left w:val="single" w:sz="4" w:space="0" w:color="C00000"/>
              <w:bottom w:val="single" w:sz="4" w:space="0" w:color="C00000"/>
              <w:right w:val="single" w:sz="4" w:space="0" w:color="C00000"/>
            </w:tcBorders>
            <w:shd w:val="clear" w:color="auto" w:fill="FFE7E7"/>
            <w:tcMar>
              <w:top w:w="50" w:type="dxa"/>
              <w:left w:w="40" w:type="dxa"/>
              <w:bottom w:w="50" w:type="dxa"/>
              <w:right w:w="40" w:type="dxa"/>
            </w:tcMar>
            <w:vAlign w:val="center"/>
          </w:tcPr>
          <w:p w14:paraId="628A22C8" w14:textId="77777777" w:rsidR="00EC3C82" w:rsidRDefault="00BD6614">
            <w:pPr>
              <w:jc w:val="center"/>
            </w:pPr>
            <w:r>
              <w:rPr>
                <w:b/>
                <w:bCs/>
                <w:color w:val="C00000"/>
                <w:sz w:val="19"/>
                <w:szCs w:val="19"/>
              </w:rPr>
              <w:t>3</w:t>
            </w:r>
          </w:p>
        </w:tc>
        <w:tc>
          <w:tcPr>
            <w:tcW w:w="900" w:type="dxa"/>
            <w:tcBorders>
              <w:top w:val="single" w:sz="4" w:space="0" w:color="C55A11"/>
              <w:left w:val="single" w:sz="4" w:space="0" w:color="C55A11"/>
              <w:bottom w:val="single" w:sz="4" w:space="0" w:color="C55A11"/>
              <w:right w:val="single" w:sz="4" w:space="0" w:color="C55A11"/>
            </w:tcBorders>
            <w:shd w:val="clear" w:color="auto" w:fill="FFF2CC"/>
            <w:tcMar>
              <w:top w:w="50" w:type="dxa"/>
              <w:left w:w="40" w:type="dxa"/>
              <w:bottom w:w="50" w:type="dxa"/>
              <w:right w:w="40" w:type="dxa"/>
            </w:tcMar>
            <w:vAlign w:val="center"/>
          </w:tcPr>
          <w:p w14:paraId="628A22C9" w14:textId="77777777" w:rsidR="00EC3C82" w:rsidRDefault="00BD6614">
            <w:pPr>
              <w:jc w:val="center"/>
            </w:pPr>
            <w:r>
              <w:rPr>
                <w:b/>
                <w:bCs/>
                <w:color w:val="C55A11"/>
                <w:sz w:val="19"/>
                <w:szCs w:val="19"/>
              </w:rPr>
              <w:t>2</w:t>
            </w:r>
          </w:p>
        </w:tc>
        <w:tc>
          <w:tcPr>
            <w:tcW w:w="900" w:type="dxa"/>
            <w:tcBorders>
              <w:top w:val="single" w:sz="4" w:space="0" w:color="375623"/>
              <w:left w:val="single" w:sz="4" w:space="0" w:color="375623"/>
              <w:bottom w:val="single" w:sz="4" w:space="0" w:color="375623"/>
              <w:right w:val="single" w:sz="4" w:space="0" w:color="375623"/>
            </w:tcBorders>
            <w:shd w:val="clear" w:color="auto" w:fill="E2EFDA"/>
            <w:tcMar>
              <w:top w:w="50" w:type="dxa"/>
              <w:left w:w="40" w:type="dxa"/>
              <w:bottom w:w="50" w:type="dxa"/>
              <w:right w:w="40" w:type="dxa"/>
            </w:tcMar>
            <w:vAlign w:val="center"/>
          </w:tcPr>
          <w:p w14:paraId="628A22CA" w14:textId="77777777" w:rsidR="00EC3C82" w:rsidRDefault="00BD6614">
            <w:pPr>
              <w:jc w:val="center"/>
            </w:pPr>
            <w:r>
              <w:rPr>
                <w:b/>
                <w:bCs/>
                <w:color w:val="375623"/>
                <w:sz w:val="19"/>
                <w:szCs w:val="19"/>
              </w:rPr>
              <w:t>1</w:t>
            </w:r>
          </w:p>
        </w:tc>
      </w:tr>
    </w:tbl>
    <w:p w14:paraId="628A22CC" w14:textId="77777777" w:rsidR="00EC3C82" w:rsidRDefault="00EC3C82">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2CE" w14:textId="77777777">
        <w:tc>
          <w:tcPr>
            <w:tcW w:w="9026" w:type="dxa"/>
            <w:tcBorders>
              <w:top w:val="single" w:sz="6" w:space="0" w:color="C00000"/>
              <w:left w:val="single" w:sz="6" w:space="0" w:color="C00000"/>
              <w:bottom w:val="single" w:sz="6" w:space="0" w:color="C00000"/>
              <w:right w:val="single" w:sz="6" w:space="0" w:color="C00000"/>
            </w:tcBorders>
            <w:shd w:val="clear" w:color="auto" w:fill="FFE7E7"/>
            <w:tcMar>
              <w:top w:w="80" w:type="dxa"/>
              <w:left w:w="140" w:type="dxa"/>
              <w:bottom w:w="80" w:type="dxa"/>
              <w:right w:w="140" w:type="dxa"/>
            </w:tcMar>
          </w:tcPr>
          <w:p w14:paraId="628A22CD" w14:textId="77777777" w:rsidR="00EC3C82" w:rsidRDefault="00BD6614">
            <w:r>
              <w:rPr>
                <w:b/>
                <w:bCs/>
                <w:color w:val="C00000"/>
                <w:sz w:val="19"/>
                <w:szCs w:val="19"/>
              </w:rPr>
              <w:t xml:space="preserve">Recuerda: </w:t>
            </w:r>
            <w:r>
              <w:rPr>
                <w:sz w:val="19"/>
                <w:szCs w:val="19"/>
              </w:rPr>
              <w:t xml:space="preserve">Un nivel 1 (autónomo) no significa ausencia de supervisión. Significa que el residente puede actuar sin tutorización directa, pero </w:t>
            </w:r>
            <w:r>
              <w:rPr>
                <w:b/>
                <w:bCs/>
                <w:color w:val="C00000"/>
                <w:sz w:val="19"/>
                <w:szCs w:val="19"/>
              </w:rPr>
              <w:t>siempre debe informar al adjunto y consultar ante cualquier duda.</w:t>
            </w:r>
          </w:p>
        </w:tc>
      </w:tr>
    </w:tbl>
    <w:p w14:paraId="628A22CF" w14:textId="77777777" w:rsidR="00EC3C82" w:rsidRDefault="00EC3C82">
      <w:pPr>
        <w:spacing w:before="60" w:after="60"/>
      </w:pPr>
    </w:p>
    <w:p w14:paraId="628A22D0" w14:textId="77777777" w:rsidR="00EC3C82" w:rsidRDefault="00EC3C82">
      <w:pPr>
        <w:spacing w:before="6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3C82" w14:paraId="628A22D6" w14:textId="77777777">
        <w:tc>
          <w:tcPr>
            <w:tcW w:w="9026" w:type="dxa"/>
            <w:tcBorders>
              <w:top w:val="single" w:sz="4" w:space="0" w:color="1F3964"/>
              <w:left w:val="single" w:sz="4" w:space="0" w:color="1F3964"/>
              <w:bottom w:val="single" w:sz="4" w:space="0" w:color="1F3964"/>
              <w:right w:val="single" w:sz="4" w:space="0" w:color="1F3964"/>
            </w:tcBorders>
            <w:tcMar>
              <w:top w:w="100" w:type="dxa"/>
              <w:left w:w="160" w:type="dxa"/>
              <w:bottom w:w="100" w:type="dxa"/>
              <w:right w:w="160" w:type="dxa"/>
            </w:tcMar>
          </w:tcPr>
          <w:p w14:paraId="628A22D1" w14:textId="77777777" w:rsidR="00EC3C82" w:rsidRDefault="00BD6614">
            <w:r>
              <w:rPr>
                <w:b/>
                <w:bCs/>
              </w:rPr>
              <w:t>Francisco de Borja Hernández Moreno</w:t>
            </w:r>
          </w:p>
          <w:p w14:paraId="628A22D2" w14:textId="77777777" w:rsidR="00EC3C82" w:rsidRDefault="00BD6614">
            <w:r>
              <w:t xml:space="preserve">Jefe de Estudios FSE — </w:t>
            </w:r>
            <w:proofErr w:type="gramStart"/>
            <w:r>
              <w:t>Presidente</w:t>
            </w:r>
            <w:proofErr w:type="gramEnd"/>
            <w:r>
              <w:t xml:space="preserve"> de la Comisión de </w:t>
            </w:r>
            <w:proofErr w:type="gramStart"/>
            <w:r>
              <w:t>Docencia  ·</w:t>
            </w:r>
            <w:proofErr w:type="gramEnd"/>
            <w:r>
              <w:t xml:space="preserve">  HUGV</w:t>
            </w:r>
          </w:p>
          <w:p w14:paraId="628A22D3" w14:textId="77777777" w:rsidR="00EC3C82" w:rsidRDefault="00BD6614">
            <w:pPr>
              <w:spacing w:before="60"/>
            </w:pPr>
            <w:r>
              <w:rPr>
                <w:i/>
                <w:iCs/>
              </w:rPr>
              <w:t>Collado Villalba, mayo de 2026</w:t>
            </w:r>
          </w:p>
          <w:p w14:paraId="628A22D4" w14:textId="77777777" w:rsidR="00EC3C82" w:rsidRDefault="00BD6614">
            <w:pPr>
              <w:spacing w:before="200"/>
            </w:pPr>
            <w:r>
              <w:t>Firma:</w:t>
            </w:r>
          </w:p>
          <w:p w14:paraId="628A22D5" w14:textId="77777777" w:rsidR="00EC3C82" w:rsidRDefault="00EC3C82">
            <w:pPr>
              <w:spacing w:before="300"/>
            </w:pPr>
          </w:p>
        </w:tc>
      </w:tr>
    </w:tbl>
    <w:p w14:paraId="628A22D7" w14:textId="77777777" w:rsidR="00047C5D" w:rsidRDefault="00047C5D"/>
    <w:sectPr w:rsidR="00047C5D">
      <w:headerReference w:type="default" r:id="rId7"/>
      <w:footerReference w:type="default" r:id="rId8"/>
      <w:pgSz w:w="11906" w:h="16838"/>
      <w:pgMar w:top="14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F89F" w14:textId="77777777" w:rsidR="00047C5D" w:rsidRDefault="00047C5D">
      <w:r>
        <w:separator/>
      </w:r>
    </w:p>
  </w:endnote>
  <w:endnote w:type="continuationSeparator" w:id="0">
    <w:p w14:paraId="385A9EF8" w14:textId="77777777" w:rsidR="00047C5D" w:rsidRDefault="0004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22D8" w14:textId="74314E8D" w:rsidR="00EC3C82" w:rsidRDefault="00BD6614">
    <w:pPr>
      <w:pBdr>
        <w:top w:val="single" w:sz="4" w:space="0" w:color="1F3964"/>
      </w:pBdr>
      <w:tabs>
        <w:tab w:val="right" w:pos="9026"/>
      </w:tabs>
      <w:spacing w:before="60"/>
    </w:pPr>
    <w:proofErr w:type="gramStart"/>
    <w:r>
      <w:rPr>
        <w:color w:val="666666"/>
        <w:sz w:val="16"/>
        <w:szCs w:val="16"/>
      </w:rPr>
      <w:t>HUGV  |</w:t>
    </w:r>
    <w:proofErr w:type="gramEnd"/>
    <w:r>
      <w:rPr>
        <w:color w:val="666666"/>
        <w:sz w:val="16"/>
        <w:szCs w:val="16"/>
      </w:rPr>
      <w:t xml:space="preserve">  Protocolo de Supervisión — Servicio de </w:t>
    </w:r>
    <w:proofErr w:type="gramStart"/>
    <w:r>
      <w:rPr>
        <w:color w:val="666666"/>
        <w:sz w:val="16"/>
        <w:szCs w:val="16"/>
      </w:rPr>
      <w:t>Urgencias  |</w:t>
    </w:r>
    <w:proofErr w:type="gramEnd"/>
    <w:r>
      <w:rPr>
        <w:color w:val="666666"/>
        <w:sz w:val="16"/>
        <w:szCs w:val="16"/>
      </w:rPr>
      <w:t xml:space="preserve">  Versión </w:t>
    </w:r>
    <w:r w:rsidR="00642584">
      <w:rPr>
        <w:color w:val="666666"/>
        <w:sz w:val="16"/>
        <w:szCs w:val="16"/>
      </w:rPr>
      <w:t>3</w:t>
    </w:r>
    <w:r>
      <w:rPr>
        <w:color w:val="666666"/>
        <w:sz w:val="16"/>
        <w:szCs w:val="16"/>
      </w:rPr>
      <w:t xml:space="preserve">.0 — </w:t>
    </w:r>
    <w:proofErr w:type="gramStart"/>
    <w:r>
      <w:rPr>
        <w:color w:val="666666"/>
        <w:sz w:val="16"/>
        <w:szCs w:val="16"/>
      </w:rPr>
      <w:t>Mayo</w:t>
    </w:r>
    <w:proofErr w:type="gramEnd"/>
    <w:r>
      <w:rPr>
        <w:color w:val="666666"/>
        <w:sz w:val="16"/>
        <w:szCs w:val="16"/>
      </w:rPr>
      <w:t xml:space="preserve"> 2026</w:t>
    </w:r>
    <w:r>
      <w:rPr>
        <w:sz w:val="16"/>
        <w:szCs w:val="16"/>
      </w:rPr>
      <w:tab/>
    </w:r>
    <w:r>
      <w:rPr>
        <w:color w:val="666666"/>
        <w:sz w:val="16"/>
        <w:szCs w:val="16"/>
      </w:rPr>
      <w:fldChar w:fldCharType="begin"/>
    </w:r>
    <w:r>
      <w:rPr>
        <w:color w:val="666666"/>
        <w:sz w:val="16"/>
        <w:szCs w:val="16"/>
      </w:rPr>
      <w:instrText>PAGE</w:instrText>
    </w:r>
    <w:r>
      <w:rPr>
        <w:color w:val="666666"/>
        <w:sz w:val="16"/>
        <w:szCs w:val="16"/>
      </w:rPr>
      <w:fldChar w:fldCharType="separate"/>
    </w:r>
    <w:r w:rsidR="00857ED5">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DF88" w14:textId="77777777" w:rsidR="00047C5D" w:rsidRDefault="00047C5D">
      <w:r>
        <w:separator/>
      </w:r>
    </w:p>
  </w:footnote>
  <w:footnote w:type="continuationSeparator" w:id="0">
    <w:p w14:paraId="0FC73FC5" w14:textId="77777777" w:rsidR="00047C5D" w:rsidRDefault="00047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22D7" w14:textId="02DDAC68" w:rsidR="00EC3C82" w:rsidRDefault="00857ED5">
    <w:r>
      <w:rPr>
        <w:noProof/>
      </w:rPr>
      <w:drawing>
        <wp:anchor distT="0" distB="0" distL="0" distR="0" simplePos="0" relativeHeight="295275" behindDoc="0" locked="0" layoutInCell="1" allowOverlap="1" wp14:anchorId="628A22DB" wp14:editId="300242B6">
          <wp:simplePos x="0" y="0"/>
          <wp:positionH relativeFrom="page">
            <wp:posOffset>6240780</wp:posOffset>
          </wp:positionH>
          <wp:positionV relativeFrom="page">
            <wp:posOffset>106680</wp:posOffset>
          </wp:positionV>
          <wp:extent cx="1231328" cy="734060"/>
          <wp:effectExtent l="0" t="0" r="6985" b="8890"/>
          <wp:wrapNone/>
          <wp:docPr id="1648305708" name="Imagen 164830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42302" cy="74060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28625" behindDoc="0" locked="0" layoutInCell="1" allowOverlap="1" wp14:anchorId="628A22D9" wp14:editId="70E9A2E7">
          <wp:simplePos x="0" y="0"/>
          <wp:positionH relativeFrom="page">
            <wp:posOffset>106680</wp:posOffset>
          </wp:positionH>
          <wp:positionV relativeFrom="page">
            <wp:posOffset>99060</wp:posOffset>
          </wp:positionV>
          <wp:extent cx="4219787" cy="678180"/>
          <wp:effectExtent l="0" t="0" r="9525"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4219787" cy="678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74A4"/>
    <w:multiLevelType w:val="hybridMultilevel"/>
    <w:tmpl w:val="42B460CE"/>
    <w:lvl w:ilvl="0" w:tplc="137AA8DA">
      <w:start w:val="1"/>
      <w:numFmt w:val="bullet"/>
      <w:lvlText w:val="●"/>
      <w:lvlJc w:val="left"/>
      <w:pPr>
        <w:ind w:left="720" w:hanging="360"/>
      </w:pPr>
    </w:lvl>
    <w:lvl w:ilvl="1" w:tplc="27125944">
      <w:start w:val="1"/>
      <w:numFmt w:val="bullet"/>
      <w:lvlText w:val="○"/>
      <w:lvlJc w:val="left"/>
      <w:pPr>
        <w:ind w:left="1440" w:hanging="360"/>
      </w:pPr>
    </w:lvl>
    <w:lvl w:ilvl="2" w:tplc="06BA5F12">
      <w:start w:val="1"/>
      <w:numFmt w:val="bullet"/>
      <w:lvlText w:val="■"/>
      <w:lvlJc w:val="left"/>
      <w:pPr>
        <w:ind w:left="2160" w:hanging="360"/>
      </w:pPr>
    </w:lvl>
    <w:lvl w:ilvl="3" w:tplc="AB08F132">
      <w:start w:val="1"/>
      <w:numFmt w:val="bullet"/>
      <w:lvlText w:val="●"/>
      <w:lvlJc w:val="left"/>
      <w:pPr>
        <w:ind w:left="2880" w:hanging="360"/>
      </w:pPr>
    </w:lvl>
    <w:lvl w:ilvl="4" w:tplc="AC526792">
      <w:start w:val="1"/>
      <w:numFmt w:val="bullet"/>
      <w:lvlText w:val="○"/>
      <w:lvlJc w:val="left"/>
      <w:pPr>
        <w:ind w:left="3600" w:hanging="360"/>
      </w:pPr>
    </w:lvl>
    <w:lvl w:ilvl="5" w:tplc="A8AC45FE">
      <w:start w:val="1"/>
      <w:numFmt w:val="bullet"/>
      <w:lvlText w:val="■"/>
      <w:lvlJc w:val="left"/>
      <w:pPr>
        <w:ind w:left="4320" w:hanging="360"/>
      </w:pPr>
    </w:lvl>
    <w:lvl w:ilvl="6" w:tplc="89D2A8B8">
      <w:start w:val="1"/>
      <w:numFmt w:val="bullet"/>
      <w:lvlText w:val="●"/>
      <w:lvlJc w:val="left"/>
      <w:pPr>
        <w:ind w:left="5040" w:hanging="360"/>
      </w:pPr>
    </w:lvl>
    <w:lvl w:ilvl="7" w:tplc="46D0E800">
      <w:start w:val="1"/>
      <w:numFmt w:val="bullet"/>
      <w:lvlText w:val="●"/>
      <w:lvlJc w:val="left"/>
      <w:pPr>
        <w:ind w:left="5760" w:hanging="360"/>
      </w:pPr>
    </w:lvl>
    <w:lvl w:ilvl="8" w:tplc="F8C403D8">
      <w:start w:val="1"/>
      <w:numFmt w:val="bullet"/>
      <w:lvlText w:val="●"/>
      <w:lvlJc w:val="left"/>
      <w:pPr>
        <w:ind w:left="6480" w:hanging="360"/>
      </w:pPr>
    </w:lvl>
  </w:abstractNum>
  <w:num w:numId="1" w16cid:durableId="10131468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82"/>
    <w:rsid w:val="00047C5D"/>
    <w:rsid w:val="0041671D"/>
    <w:rsid w:val="004C4D95"/>
    <w:rsid w:val="004F0F78"/>
    <w:rsid w:val="00642584"/>
    <w:rsid w:val="00857ED5"/>
    <w:rsid w:val="00BD6614"/>
    <w:rsid w:val="00E53408"/>
    <w:rsid w:val="00EC3C82"/>
    <w:rsid w:val="00FF30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21B8"/>
  <w15:docId w15:val="{3CE08BED-7007-40A6-98EE-271BBD8C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857ED5"/>
    <w:pPr>
      <w:tabs>
        <w:tab w:val="center" w:pos="4252"/>
        <w:tab w:val="right" w:pos="8504"/>
      </w:tabs>
    </w:pPr>
  </w:style>
  <w:style w:type="character" w:customStyle="1" w:styleId="EncabezadoCar">
    <w:name w:val="Encabezado Car"/>
    <w:basedOn w:val="Fuentedeprrafopredeter"/>
    <w:link w:val="Encabezado"/>
    <w:uiPriority w:val="99"/>
    <w:rsid w:val="00857ED5"/>
  </w:style>
  <w:style w:type="paragraph" w:styleId="Piedepgina">
    <w:name w:val="footer"/>
    <w:basedOn w:val="Normal"/>
    <w:link w:val="PiedepginaCar"/>
    <w:uiPriority w:val="99"/>
    <w:unhideWhenUsed/>
    <w:rsid w:val="00857ED5"/>
    <w:pPr>
      <w:tabs>
        <w:tab w:val="center" w:pos="4252"/>
        <w:tab w:val="right" w:pos="8504"/>
      </w:tabs>
    </w:pPr>
  </w:style>
  <w:style w:type="character" w:customStyle="1" w:styleId="PiedepginaCar">
    <w:name w:val="Pie de página Car"/>
    <w:basedOn w:val="Fuentedeprrafopredeter"/>
    <w:link w:val="Piedepgina"/>
    <w:uiPriority w:val="99"/>
    <w:rsid w:val="00857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1717</Words>
  <Characters>9448</Characters>
  <Application>Microsoft Office Word</Application>
  <DocSecurity>0</DocSecurity>
  <Lines>78</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FRANCISCO BORJA HERNANDEZ MORENO</cp:lastModifiedBy>
  <cp:revision>7</cp:revision>
  <dcterms:created xsi:type="dcterms:W3CDTF">2026-05-24T05:59:00Z</dcterms:created>
  <dcterms:modified xsi:type="dcterms:W3CDTF">2026-05-24T16:05:00Z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246707-acf5-41ce-b7b1-f5c34e68a12b_Enabled">
    <vt:lpwstr>true</vt:lpwstr>
  </property>
  <property fmtid="{D5CDD505-2E9C-101B-9397-08002B2CF9AE}" pid="3" name="MSIP_Label_62246707-acf5-41ce-b7b1-f5c34e68a12b_SetDate">
    <vt:lpwstr>2026-05-24T15:52:26Z</vt:lpwstr>
  </property>
  <property fmtid="{D5CDD505-2E9C-101B-9397-08002B2CF9AE}" pid="4" name="MSIP_Label_62246707-acf5-41ce-b7b1-f5c34e68a12b_Method">
    <vt:lpwstr>Standard</vt:lpwstr>
  </property>
  <property fmtid="{D5CDD505-2E9C-101B-9397-08002B2CF9AE}" pid="5" name="MSIP_Label_62246707-acf5-41ce-b7b1-f5c34e68a12b_Name">
    <vt:lpwstr>Uso interno - Document</vt:lpwstr>
  </property>
  <property fmtid="{D5CDD505-2E9C-101B-9397-08002B2CF9AE}" pid="6" name="MSIP_Label_62246707-acf5-41ce-b7b1-f5c34e68a12b_SiteId">
    <vt:lpwstr>d879fa46-3954-4e5c-a3cf-ab74f00c58da</vt:lpwstr>
  </property>
  <property fmtid="{D5CDD505-2E9C-101B-9397-08002B2CF9AE}" pid="7" name="MSIP_Label_62246707-acf5-41ce-b7b1-f5c34e68a12b_ActionId">
    <vt:lpwstr>1189b46b-b111-4cfa-86dd-17633cadacd8</vt:lpwstr>
  </property>
  <property fmtid="{D5CDD505-2E9C-101B-9397-08002B2CF9AE}" pid="8" name="MSIP_Label_62246707-acf5-41ce-b7b1-f5c34e68a12b_ContentBits">
    <vt:lpwstr>0</vt:lpwstr>
  </property>
  <property fmtid="{D5CDD505-2E9C-101B-9397-08002B2CF9AE}" pid="9" name="MSIP_Label_62246707-acf5-41ce-b7b1-f5c34e68a12b_Tag">
    <vt:lpwstr>10, 3, 0, 1</vt:lpwstr>
  </property>
</Properties>
</file>